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上海浦东资本投资运营收购上海畅联国际物流：控制权与治理安排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本案例涉及上海浦东资本投资运营有限公司（下称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上海浦东资本投资运营</w:t>
      </w:r>
      <w:r>
        <w:rPr>
          <w:rFonts w:ascii="Times New Roman" w:hAnsi="Times New Roman" w:eastAsia="Times New Roman" w:cs="Times New Roman"/>
          <w:b w:val="0"/>
          <w:sz w:val="28"/>
        </w:rPr>
        <w:t>”</w:t>
      </w:r>
      <w:r>
        <w:rPr>
          <w:rFonts w:ascii="Times New Roman" w:hAnsi="Times New Roman" w:eastAsia="仿宋" w:cs="Times New Roman"/>
          <w:b w:val="0"/>
          <w:sz w:val="28"/>
        </w:rPr>
        <w:t>）收购上海畅联国际物流股份有限公司（下称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上海畅联国际物流</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浦东资本受让畅联股份控股权，推动浦东国资物流整合，目标线索为浦东资本受让畅联股份控股权，推动浦东国资物流整合。浦东新区国资委将所持上海畅联国际物流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畅联股份</w:t>
      </w:r>
      <w:r>
        <w:rPr>
          <w:rFonts w:ascii="Times New Roman" w:hAnsi="Times New Roman" w:eastAsia="Times New Roman" w:cs="Times New Roman"/>
          <w:b w:val="0"/>
          <w:sz w:val="28"/>
        </w:rPr>
        <w:t>”</w:t>
      </w:r>
      <w:r>
        <w:rPr>
          <w:rFonts w:ascii="Times New Roman" w:hAnsi="Times New Roman" w:eastAsia="仿宋" w:cs="Times New Roman"/>
          <w:b w:val="0"/>
          <w:sz w:val="28"/>
        </w:rPr>
        <w:t>，603648.SH）25%股权作价471,040,268.67元，以非货币出资方式注入上海浦东资本投资运营有限公司（下称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浦东资本</w:t>
      </w:r>
      <w:r>
        <w:rPr>
          <w:rFonts w:ascii="Times New Roman" w:hAnsi="Times New Roman" w:eastAsia="Times New Roman" w:cs="Times New Roman"/>
          <w:b w:val="0"/>
          <w:sz w:val="28"/>
        </w:rPr>
        <w:t>”</w:t>
      </w:r>
      <w:r>
        <w:rPr>
          <w:rFonts w:ascii="Times New Roman" w:hAnsi="Times New Roman" w:eastAsia="仿宋" w:cs="Times New Roman"/>
          <w:b w:val="0"/>
          <w:sz w:val="28"/>
        </w:rPr>
        <w:t>），在不变更实际控制人的前提下完成控股股东变更。这一安排既保留了协议转让的确定性，又避免了现金支付压力，但其完全依据账面净资产定价、审批环节的内在冲突以及后续治理衔接的不确定性，构成了判断该模式推广价值的关键维度。交易能否最终完成，取决于国资委批准、交易所合规性确认和股份登记过户等多重程序的推进。</w:t>
      </w:r>
    </w:p>
    <w:p>
      <w:pPr>
        <w:spacing w:before="0" w:after="0" w:line="240" w:lineRule="auto" w:beforeLines="0" w:afterLines="0"/>
        <w:jc w:val="left"/>
        <w:ind w:firstLineChars="200"/>
      </w:pPr>
      <w:r>
        <w:rPr>
          <w:rFonts w:ascii="Times New Roman" w:hAnsi="Times New Roman" w:eastAsia="仿宋" w:cs="Times New Roman"/>
          <w:b/>
          <w:sz w:val="28"/>
        </w:rPr>
        <w:t>一、交易前的股权格局与整合触发点</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471,040,268.67元；时间线包括2026-06-17：浦东新区国资委与浦东资本签署《股份转让协议》；2026-06-19：畅联股份发布提示性公告，披露控股股东拟变更；关键数字包括转让股份数量：91,688,980股；转让股份比例：约占公司总股本25%；转让价格：471,040,268.67元；定价基准日：2025年12月31。</w:t>
      </w:r>
    </w:p>
    <w:p>
      <w:pPr>
        <w:spacing w:before="0" w:after="0" w:line="240" w:lineRule="auto" w:beforeLines="0" w:afterLines="0"/>
        <w:jc w:val="both"/>
        <w:ind w:firstLineChars="200"/>
      </w:pPr>
      <w:r>
        <w:rPr>
          <w:rFonts w:ascii="Times New Roman" w:hAnsi="Times New Roman" w:eastAsia="仿宋" w:cs="Times New Roman"/>
          <w:b w:val="0"/>
          <w:sz w:val="28"/>
        </w:rPr>
        <w:t>本次交易前，畅联股份控股股东为上海市浦东新区国有资产监督管理委员会（下称</w:t>
      </w:r>
      <w:r>
        <w:rPr>
          <w:rFonts w:ascii="Times New Roman" w:hAnsi="Times New Roman" w:eastAsia="Times New Roman" w:cs="Times New Roman"/>
          <w:b w:val="0"/>
          <w:sz w:val="28"/>
        </w:rPr>
        <w:t>“</w:t>
      </w:r>
      <w:r>
        <w:rPr>
          <w:rFonts w:ascii="Times New Roman" w:hAnsi="Times New Roman" w:eastAsia="仿宋" w:cs="Times New Roman"/>
          <w:b w:val="0"/>
          <w:sz w:val="28"/>
        </w:rPr>
        <w:t>浦东新区国资委</w:t>
      </w:r>
      <w:r>
        <w:rPr>
          <w:rFonts w:ascii="Times New Roman" w:hAnsi="Times New Roman" w:eastAsia="Times New Roman" w:cs="Times New Roman"/>
          <w:b w:val="0"/>
          <w:sz w:val="28"/>
        </w:rPr>
        <w:t>”</w:t>
      </w:r>
      <w:r>
        <w:rPr>
          <w:rFonts w:ascii="Times New Roman" w:hAnsi="Times New Roman" w:eastAsia="仿宋" w:cs="Times New Roman"/>
          <w:b w:val="0"/>
          <w:sz w:val="28"/>
        </w:rPr>
        <w:t>），其直接持有公司约25%的股份，其余股份由社会公众持有。畅联股份作为注册于上海自贸区的综合物流服务商，长期深耕供应链管理，其客户网络与区域物流节点资源构成浦东国资物流资产的重要组成。公开资料未披露浦东新区国资委的直接整合动因，但交易公告明确将目标表述为</w:t>
      </w:r>
      <w:r>
        <w:rPr>
          <w:rFonts w:ascii="Times New Roman" w:hAnsi="Times New Roman" w:eastAsia="Times New Roman" w:cs="Times New Roman"/>
          <w:b w:val="0"/>
          <w:sz w:val="28"/>
        </w:rPr>
        <w:t>“</w:t>
      </w:r>
      <w:r>
        <w:rPr>
          <w:rFonts w:ascii="Times New Roman" w:hAnsi="Times New Roman" w:eastAsia="仿宋" w:cs="Times New Roman"/>
          <w:b w:val="0"/>
          <w:sz w:val="28"/>
        </w:rPr>
        <w:t>推动浦东国资物流整合</w:t>
      </w:r>
      <w:r>
        <w:rPr>
          <w:rFonts w:ascii="Times New Roman" w:hAnsi="Times New Roman" w:eastAsia="Times New Roman" w:cs="Times New Roman"/>
          <w:b w:val="0"/>
          <w:sz w:val="28"/>
        </w:rPr>
        <w:t>”</w:t>
      </w:r>
      <w:r>
        <w:rPr>
          <w:rFonts w:ascii="Times New Roman" w:hAnsi="Times New Roman" w:eastAsia="仿宋" w:cs="Times New Roman"/>
          <w:b w:val="0"/>
          <w:sz w:val="28"/>
        </w:rPr>
        <w:t>，据此可以判断，浦东新区国资委意图将分散于各层级的物流资产逐步归集至专业资本运营平台，以提升整体配置效率。</w:t>
      </w:r>
    </w:p>
    <w:p>
      <w:pPr>
        <w:spacing w:before="0" w:after="0" w:line="240" w:lineRule="auto" w:beforeLines="0" w:afterLines="0"/>
        <w:jc w:val="both"/>
        <w:ind w:firstLineChars="200"/>
      </w:pPr>
      <w:r>
        <w:rPr>
          <w:rFonts w:ascii="Times New Roman" w:hAnsi="Times New Roman" w:eastAsia="仿宋" w:cs="Times New Roman"/>
          <w:b w:val="0"/>
          <w:sz w:val="28"/>
        </w:rPr>
        <w:t>2026年6月17日，浦东新区国资委与浦东资本签署《股份转让协议》，将所持畅联股份91,688,980股A股股份全部转让给浦东资本，转让后浦东资本成为控股股东，实际控制人仍为浦东新区国资委。这一持股主体的变更并非简单的</w:t>
      </w:r>
      <w:r>
        <w:rPr>
          <w:rFonts w:ascii="Times New Roman" w:hAnsi="Times New Roman" w:eastAsia="Times New Roman" w:cs="Times New Roman"/>
          <w:b w:val="0"/>
          <w:sz w:val="28"/>
        </w:rPr>
        <w:t>“</w:t>
      </w:r>
      <w:r>
        <w:rPr>
          <w:rFonts w:ascii="Times New Roman" w:hAnsi="Times New Roman" w:eastAsia="仿宋" w:cs="Times New Roman"/>
          <w:b w:val="0"/>
          <w:sz w:val="28"/>
        </w:rPr>
        <w:t>左手换右手</w:t>
      </w:r>
      <w:r>
        <w:rPr>
          <w:rFonts w:ascii="Times New Roman" w:hAnsi="Times New Roman" w:eastAsia="Times New Roman" w:cs="Times New Roman"/>
          <w:b w:val="0"/>
          <w:sz w:val="28"/>
        </w:rPr>
        <w:t>”</w:t>
      </w:r>
      <w:r>
        <w:rPr>
          <w:rFonts w:ascii="Times New Roman" w:hAnsi="Times New Roman" w:eastAsia="仿宋" w:cs="Times New Roman"/>
          <w:b w:val="0"/>
          <w:sz w:val="28"/>
        </w:rPr>
        <w:t>，其本质是通过股权注入充实浦东资本的资产规模，使其成为承接和管理国资物流股权的核心载体。浦东资本成立于2007年，为浦东新区国资委全资持有的国有独资公司，注册资本1,000,000万元，但截至公告时实缴资本仅11,163.486万元。其主营业务为企业资产重组、购并策划及相关咨询服务，此前并未持有运营性物流资产。因此，本次受让畅联股份控股权，既是浦东资本首次控股上市公司，也是其从资本中介向产业控股平台转型的关键一步。</w:t>
      </w:r>
    </w:p>
    <w:p>
      <w:pPr>
        <w:spacing w:before="0" w:after="0" w:line="240" w:lineRule="auto" w:beforeLines="0" w:afterLines="0"/>
        <w:jc w:val="left"/>
        <w:ind w:firstLineChars="200"/>
      </w:pPr>
      <w:r>
        <w:rPr>
          <w:rFonts w:ascii="Times New Roman" w:hAnsi="Times New Roman" w:eastAsia="仿宋" w:cs="Times New Roman"/>
          <w:b/>
          <w:sz w:val="28"/>
        </w:rPr>
        <w:t>二、非货币出资的交易结构：协议转让与资本注入的双重属性</w:t>
      </w:r>
    </w:p>
    <w:p>
      <w:pPr>
        <w:spacing w:before="0" w:after="0" w:line="240" w:lineRule="auto" w:beforeLines="0" w:afterLines="0"/>
        <w:jc w:val="both"/>
        <w:ind w:firstLineChars="200"/>
      </w:pPr>
      <w:r>
        <w:rPr>
          <w:rFonts w:ascii="Times New Roman" w:hAnsi="Times New Roman" w:eastAsia="仿宋" w:cs="Times New Roman"/>
          <w:b w:val="0"/>
          <w:sz w:val="28"/>
        </w:rPr>
        <w:t>本案最显著的结构特征是，股权转让并非以现金作为对价，而是明确约定为浦东新区国资委</w:t>
      </w:r>
      <w:r>
        <w:rPr>
          <w:rFonts w:ascii="Times New Roman" w:hAnsi="Times New Roman" w:eastAsia="Times New Roman" w:cs="Times New Roman"/>
          <w:b w:val="0"/>
          <w:sz w:val="28"/>
        </w:rPr>
        <w:t>“</w:t>
      </w:r>
      <w:r>
        <w:rPr>
          <w:rFonts w:ascii="Times New Roman" w:hAnsi="Times New Roman" w:eastAsia="仿宋" w:cs="Times New Roman"/>
          <w:b w:val="0"/>
          <w:sz w:val="28"/>
        </w:rPr>
        <w:t>以目标股份作为对浦东资本的非货币出资</w:t>
      </w:r>
      <w:r>
        <w:rPr>
          <w:rFonts w:ascii="Times New Roman" w:hAnsi="Times New Roman" w:eastAsia="Times New Roman" w:cs="Times New Roman"/>
          <w:b w:val="0"/>
          <w:sz w:val="28"/>
        </w:rPr>
        <w:t>”</w:t>
      </w:r>
      <w:r>
        <w:rPr>
          <w:rFonts w:ascii="Times New Roman" w:hAnsi="Times New Roman" w:eastAsia="仿宋" w:cs="Times New Roman"/>
          <w:b w:val="0"/>
          <w:sz w:val="28"/>
        </w:rPr>
        <w:t>。转让价格依据为截至2025年12月31日畅联股份经审计的账面净资产值，目标股份作价471,040,268.67元。这一安排使得交易兼具股份协议转让与股东增资的双重法律性质：在上市公司层面，控股股东由国资委变更为浦东资本，构成协议转让；在国。</w:t>
      </w:r>
    </w:p>
    <w:p>
      <w:pPr>
        <w:spacing w:before="0" w:after="0" w:line="240" w:lineRule="auto" w:beforeLines="0" w:afterLines="0"/>
        <w:jc w:val="both"/>
        <w:ind w:firstLineChars="200"/>
      </w:pPr>
      <w:r>
        <w:rPr>
          <w:rFonts w:ascii="Times New Roman" w:hAnsi="Times New Roman" w:eastAsia="仿宋" w:cs="Times New Roman"/>
          <w:b w:val="0"/>
          <w:sz w:val="28"/>
        </w:rPr>
        <w:t>从出资效果看，若交易完成，浦东资本的实缴资本将由11,163.486万元大幅提升至约48.27亿元（471,040,268.67元），净资产得到实质性充实，资产负债结构显著改善。同时，畅联股份的股权直接进入浦东资本，未来可通过浦东资本进行再融资、股权质押或资产整合，形成</w:t>
      </w:r>
      <w:r>
        <w:rPr>
          <w:rFonts w:ascii="Times New Roman" w:hAnsi="Times New Roman" w:eastAsia="Times New Roman" w:cs="Times New Roman"/>
          <w:b w:val="0"/>
          <w:sz w:val="28"/>
        </w:rPr>
        <w:t>“</w:t>
      </w:r>
      <w:r>
        <w:rPr>
          <w:rFonts w:ascii="Times New Roman" w:hAnsi="Times New Roman" w:eastAsia="仿宋" w:cs="Times New Roman"/>
          <w:b w:val="0"/>
          <w:sz w:val="28"/>
        </w:rPr>
        <w:t>国资委—资本平台—产业公司</w:t>
      </w:r>
      <w:r>
        <w:rPr>
          <w:rFonts w:ascii="Times New Roman" w:hAnsi="Times New Roman" w:eastAsia="Times New Roman" w:cs="Times New Roman"/>
          <w:b w:val="0"/>
          <w:sz w:val="28"/>
        </w:rPr>
        <w:t>”</w:t>
      </w:r>
      <w:r>
        <w:rPr>
          <w:rFonts w:ascii="Times New Roman" w:hAnsi="Times New Roman" w:eastAsia="仿宋" w:cs="Times New Roman"/>
          <w:b w:val="0"/>
          <w:sz w:val="28"/>
        </w:rPr>
        <w:t>的三层管理架构。但需注意到，浦东资本注册资本高达100亿元。</w:t>
      </w:r>
    </w:p>
    <w:p>
      <w:pPr>
        <w:spacing w:before="0" w:after="0" w:line="240" w:lineRule="auto" w:beforeLines="0" w:afterLines="0"/>
        <w:jc w:val="left"/>
        <w:ind w:firstLineChars="200"/>
      </w:pPr>
      <w:r>
        <w:rPr>
          <w:rFonts w:ascii="Times New Roman" w:hAnsi="Times New Roman" w:eastAsia="仿宋" w:cs="Times New Roman"/>
          <w:b/>
          <w:sz w:val="28"/>
        </w:rPr>
        <w:t>三、产业逻辑：浦东国资物流整合的布局与畅联股份的协同价值</w:t>
      </w:r>
    </w:p>
    <w:p>
      <w:pPr>
        <w:spacing w:before="0" w:after="0" w:line="240" w:lineRule="auto" w:beforeLines="0" w:afterLines="0"/>
        <w:jc w:val="both"/>
        <w:ind w:firstLineChars="200"/>
      </w:pPr>
      <w:r>
        <w:rPr>
          <w:rFonts w:ascii="Times New Roman" w:hAnsi="Times New Roman" w:eastAsia="仿宋" w:cs="Times New Roman"/>
          <w:b w:val="0"/>
          <w:sz w:val="28"/>
        </w:rPr>
        <w:t>浦东新区作为上海国际航运中心的核心承载区，拥有外高桥港、浦东国际机场等枢纽设施，物流产业在区域经济中占据重要地位。国资体系内除畅联股份外，还涵盖港口运营、仓储物流、供应链金融等资产，但多分散在不同主体之下，资源配置碎片化。将畅联股份控股权集中至浦东资本，可视为整合的第一步：以专业资本平台对片区物流资产进行统一规划和运营，提升资产证券化水平与资本回报率。畅联股。</w:t>
      </w:r>
    </w:p>
    <w:p>
      <w:pPr>
        <w:spacing w:before="0" w:after="0" w:line="240" w:lineRule="auto" w:beforeLines="0" w:afterLines="0"/>
        <w:jc w:val="both"/>
        <w:ind w:firstLineChars="200"/>
      </w:pPr>
      <w:r>
        <w:rPr>
          <w:rFonts w:ascii="Times New Roman" w:hAnsi="Times New Roman" w:eastAsia="仿宋" w:cs="Times New Roman"/>
          <w:b w:val="0"/>
          <w:sz w:val="28"/>
        </w:rPr>
        <w:t>公告虽未披露具体整合计划，但参照同类国资改革案例，浦东资本入主后极有可能推动畅联股份展开横向并购或纵向延伸，例如将系统内闲置仓储资源注入上市公司，或通过定向增发募集资金拓展冷链、跨境物流等新业务，从而做大做强物流主业。交易若顺利实施，浦东资本将成为畅联股份控股股东，未来可通过董事会改组、战略指引等方式推动业务协同。但浦东资本自身的运营经验和人才储备尚需验证，其如何平衡控股股东意志与上市公司独立法人治理之间的关系，将成为整合成效的关键。</w:t>
      </w:r>
    </w:p>
    <w:p>
      <w:pPr>
        <w:spacing w:before="0" w:after="0" w:line="240" w:lineRule="auto" w:beforeLines="0" w:afterLines="0"/>
        <w:jc w:val="left"/>
        <w:ind w:firstLineChars="200"/>
      </w:pPr>
      <w:r>
        <w:rPr>
          <w:rFonts w:ascii="Times New Roman" w:hAnsi="Times New Roman" w:eastAsia="仿宋" w:cs="Times New Roman"/>
          <w:b/>
          <w:sz w:val="28"/>
        </w:rPr>
        <w:t>四、财务影响：账面净资产定价下的利益分配与资本结构重塑</w:t>
      </w:r>
    </w:p>
    <w:p>
      <w:pPr>
        <w:spacing w:before="0" w:after="0" w:line="240" w:lineRule="auto" w:beforeLines="0" w:afterLines="0"/>
        <w:jc w:val="both"/>
        <w:ind w:firstLineChars="200"/>
      </w:pPr>
      <w:r>
        <w:rPr>
          <w:rFonts w:ascii="Times New Roman" w:hAnsi="Times New Roman" w:eastAsia="仿宋" w:cs="Times New Roman"/>
          <w:b w:val="0"/>
          <w:sz w:val="28"/>
        </w:rPr>
        <w:t>以账面净资产作为定价基准，意味着交易未体现市场溢价或流动性折扣。根据转让价格471,040,268.67元和25%的股权比例推算，畅联股份整体净资产约为1,884,161,074.68元，即每股净资产约5.14元。对比A股物流行业平均市净率长期在1.5倍以上，这一估值明显偏低。但考虑到交易发生在同一实际控制人下，且目的是内部整合而非市场化退出，未采用市场法估值具有合理性，符合国资监管导向，并能有效避免国有资产流失的争议。</w:t>
      </w:r>
    </w:p>
    <w:p>
      <w:pPr>
        <w:spacing w:before="0" w:after="0" w:line="240" w:lineRule="auto" w:beforeLines="0" w:afterLines="0"/>
        <w:jc w:val="both"/>
        <w:ind w:firstLineChars="200"/>
      </w:pPr>
      <w:r>
        <w:rPr>
          <w:rFonts w:ascii="Times New Roman" w:hAnsi="Times New Roman" w:eastAsia="仿宋" w:cs="Times New Roman"/>
          <w:b w:val="0"/>
          <w:sz w:val="28"/>
        </w:rPr>
        <w:t>从浦东新区国资委的视角，以股份作为出资注入浦东资本，无需现金支出，且保留了实际控制权，同时增加了对浦东资本的长期股权投资价值。从浦东资本视角，获得上市公司控股权直接增强了自身资产规模和信用等级，为后续债务融资或引入战略投资者奠定了基础。不过，由于畅联股份股价可能高于每股净资产，浦东资本未来若需出售部分股份变现，或将面临国有资产评估与保值增值的考核压力。对畅联。</w:t>
      </w:r>
    </w:p>
    <w:p>
      <w:pPr>
        <w:spacing w:before="0" w:after="0" w:line="240" w:lineRule="auto" w:beforeLines="0" w:afterLines="0"/>
        <w:jc w:val="left"/>
        <w:ind w:firstLineChars="200"/>
      </w:pPr>
      <w:r>
        <w:rPr>
          <w:rFonts w:ascii="Times New Roman" w:hAnsi="Times New Roman" w:eastAsia="仿宋" w:cs="Times New Roman"/>
          <w:b/>
          <w:sz w:val="28"/>
        </w:rPr>
        <w:t>五、审批风险与交割不确定性：从国资委批准到登记过户的程序难题</w:t>
      </w:r>
    </w:p>
    <w:p>
      <w:pPr>
        <w:spacing w:before="0" w:after="0" w:line="240" w:lineRule="auto" w:beforeLines="0" w:afterLines="0"/>
        <w:jc w:val="both"/>
        <w:ind w:firstLineChars="200"/>
      </w:pPr>
      <w:r>
        <w:rPr>
          <w:rFonts w:ascii="Times New Roman" w:hAnsi="Times New Roman" w:eastAsia="仿宋" w:cs="Times New Roman"/>
          <w:b w:val="0"/>
          <w:sz w:val="28"/>
        </w:rPr>
        <w:t>尽管交易已签署协议，但公告明确提示</w:t>
      </w:r>
      <w:r>
        <w:rPr>
          <w:rFonts w:ascii="Times New Roman" w:hAnsi="Times New Roman" w:eastAsia="Times New Roman" w:cs="Times New Roman"/>
          <w:b w:val="0"/>
          <w:sz w:val="28"/>
        </w:rPr>
        <w:t>“</w:t>
      </w:r>
      <w:r>
        <w:rPr>
          <w:rFonts w:ascii="Times New Roman" w:hAnsi="Times New Roman" w:eastAsia="仿宋" w:cs="Times New Roman"/>
          <w:b w:val="0"/>
          <w:sz w:val="28"/>
        </w:rPr>
        <w:t>本次协议转让还需通过浦东新区国资委批准、上海证券交易所合规性确认、中国证券登记结算有限责任公司上海分公司股份转让过户登记等手续，能否最终实施完成及实施结果尚存在不确定性</w:t>
      </w:r>
      <w:r>
        <w:rPr>
          <w:rFonts w:ascii="Times New Roman" w:hAnsi="Times New Roman" w:eastAsia="Times New Roman" w:cs="Times New Roman"/>
          <w:b w:val="0"/>
          <w:sz w:val="28"/>
        </w:rPr>
        <w:t>”</w:t>
      </w:r>
      <w:r>
        <w:rPr>
          <w:rFonts w:ascii="Times New Roman" w:hAnsi="Times New Roman" w:eastAsia="仿宋" w:cs="Times New Roman"/>
          <w:b w:val="0"/>
          <w:sz w:val="28"/>
        </w:rPr>
        <w:t>。这一风险提示并非例行公事，而是反映出非货币出资式交易在审批环节的特殊性。首先，国资委审批存在内在张力：浦东新区国资委既是转让方，又是批准方，这种双重角色。</w:t>
      </w:r>
    </w:p>
    <w:p>
      <w:pPr>
        <w:spacing w:before="0" w:after="0" w:line="240" w:lineRule="auto" w:beforeLines="0" w:afterLines="0"/>
        <w:jc w:val="both"/>
        <w:ind w:firstLineChars="200"/>
      </w:pPr>
      <w:r>
        <w:rPr>
          <w:rFonts w:ascii="Times New Roman" w:hAnsi="Times New Roman" w:eastAsia="仿宋" w:cs="Times New Roman"/>
          <w:b w:val="0"/>
          <w:sz w:val="28"/>
        </w:rPr>
        <w:t>从时间进度看，公告日距协议签署仅2日，体现了推进效率，但剩余环节尚无明确时间表。考虑到2026年6月19日至今仍处于进行中，实际交割可能面临数月等待。在此期间，市场环境变化或监管政策调整均可能影响交易走向。本案例的最终完成尚需观察，而其核心价值在于为国企内部重组提供了</w:t>
      </w:r>
      <w:r>
        <w:rPr>
          <w:rFonts w:ascii="Times New Roman" w:hAnsi="Times New Roman" w:eastAsia="Times New Roman" w:cs="Times New Roman"/>
          <w:b w:val="0"/>
          <w:sz w:val="28"/>
        </w:rPr>
        <w:t>“</w:t>
      </w:r>
      <w:r>
        <w:rPr>
          <w:rFonts w:ascii="Times New Roman" w:hAnsi="Times New Roman" w:eastAsia="仿宋" w:cs="Times New Roman"/>
          <w:b w:val="0"/>
          <w:sz w:val="28"/>
        </w:rPr>
        <w:t>非货币出资+协议转让</w:t>
      </w:r>
      <w:r>
        <w:rPr>
          <w:rFonts w:ascii="Times New Roman" w:hAnsi="Times New Roman" w:eastAsia="Times New Roman" w:cs="Times New Roman"/>
          <w:b w:val="0"/>
          <w:sz w:val="28"/>
        </w:rPr>
        <w:t>”</w:t>
      </w:r>
      <w:r>
        <w:rPr>
          <w:rFonts w:ascii="Times New Roman" w:hAnsi="Times New Roman" w:eastAsia="仿宋" w:cs="Times New Roman"/>
          <w:b w:val="0"/>
          <w:sz w:val="28"/>
        </w:rPr>
        <w:t>的路径参考，但实施前必须充分评估审批流程的复杂性和时间窗口。</w:t>
      </w:r>
    </w:p>
    <w:p>
      <w:pPr>
        <w:spacing w:before="0" w:after="0" w:line="240" w:lineRule="auto" w:beforeLines="0" w:afterLines="0"/>
        <w:jc w:val="left"/>
        <w:ind w:firstLineChars="200"/>
      </w:pPr>
      <w:r>
        <w:rPr>
          <w:rFonts w:ascii="Times New Roman" w:hAnsi="Times New Roman" w:eastAsia="仿宋" w:cs="Times New Roman"/>
          <w:b/>
          <w:sz w:val="28"/>
        </w:rPr>
        <w:t>六、结语：控制权与治理安排的核验方法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浦东资本入主畅联股份一案，以非货币出资实现控股权转移，完整呈现了国企内部资产重组的一种高效路径。该交易以471,040,268.67元的对价将畅联股份25%股权注入浦东资本，在不变更实际控制人的前提下，同步完成了国资委持股模式向资本平台持股的转换，避免了现金压力，且定价依据的账面净资产基准符合特殊情形下的国资监管规定，操作成本较低。</w:t>
      </w:r>
    </w:p>
    <w:p>
      <w:pPr>
        <w:spacing w:before="0" w:after="0" w:line="240" w:lineRule="auto" w:beforeLines="0" w:afterLines="0"/>
        <w:jc w:val="both"/>
        <w:ind w:firstLineChars="200"/>
      </w:pPr>
      <w:r>
        <w:rPr>
          <w:rFonts w:ascii="Times New Roman" w:hAnsi="Times New Roman" w:eastAsia="仿宋" w:cs="Times New Roman"/>
          <w:b w:val="0"/>
          <w:sz w:val="28"/>
        </w:rPr>
        <w:t>但本案也暴露了该模式的三个关键约束：其一，账面净资产定价可能无法充分反映上市公司表外无形资产，公开资料显示未来涉及再融资或股权质押，估值缺口可能限制资本运作空间；其二，内部审批环节中转让方与批准方同一化的安排，需要特别关注程序合规性，防止因程序瑕疵导致交易搁置；其三，浦东资本作为新控股股东，其注册资本远未到位、缺乏产业运营经验，收购后能否有效履行控股股东职责并推动业务协同，仍是未知数。</w:t>
      </w:r>
    </w:p>
    <w:p>
      <w:pPr>
        <w:spacing w:before="0" w:after="0" w:line="240" w:lineRule="auto" w:beforeLines="0" w:afterLines="0"/>
        <w:jc w:val="both"/>
        <w:ind w:firstLineChars="200"/>
      </w:pPr>
      <w:r>
        <w:rPr>
          <w:rFonts w:ascii="Times New Roman" w:hAnsi="Times New Roman" w:eastAsia="仿宋" w:cs="Times New Roman"/>
          <w:b w:val="0"/>
          <w:sz w:val="28"/>
        </w:rPr>
        <w:t>对于同类国企而言，若计划采用非货币出资方式归集上市公司股权，应在方案设计阶段就完成三项工作：一是对标的股权进行多维度估值比较，在审计净资产基础上可辅以市场法或收益法参考，以增强定价公允性论证；二是提前梳理审批主体和顺序，明确国资委内部决策主体与程序，并预留充足时间应对交易所问询和登记延迟；三是对接收平台的资本实力和管理能力进行客观评估，必要时同步安排增资或引入专业管理团队，避免平台空心化。唯有如此，才能使非货币出资模式真正成为推动国有资本优化布局的工具，而非仅停留在交易结构创新层面。</w:t>
      </w:r>
    </w:p>
    <w:p>
      <w:pPr>
        <w:spacing w:before="0" w:after="0" w:line="240" w:lineRule="auto" w:beforeLines="0" w:afterLines="0"/>
        <w:jc w:val="both"/>
        <w:ind w:firstLineChars="200"/>
      </w:pPr>
      <w:r>
        <w:rPr>
          <w:rFonts w:ascii="Times New Roman" w:hAnsi="Times New Roman" w:eastAsia="仿宋" w:cs="Times New Roman"/>
          <w:b w:val="0"/>
          <w:sz w:val="28"/>
        </w:rPr>
        <w:t>本案的后续进展，尤其是浦东资本对畅联股份的治理整合与资源注入，将为这一模式提供更完整的检验，也为观察国企从</w:t>
      </w:r>
      <w:r>
        <w:rPr>
          <w:rFonts w:ascii="Times New Roman" w:hAnsi="Times New Roman" w:eastAsia="Times New Roman" w:cs="Times New Roman"/>
          <w:b w:val="0"/>
          <w:sz w:val="28"/>
        </w:rPr>
        <w:t>“</w:t>
      </w:r>
      <w:r>
        <w:rPr>
          <w:rFonts w:ascii="Times New Roman" w:hAnsi="Times New Roman" w:eastAsia="仿宋" w:cs="Times New Roman"/>
          <w:b w:val="0"/>
          <w:sz w:val="28"/>
        </w:rPr>
        <w:t>管资产</w:t>
      </w:r>
      <w:r>
        <w:rPr>
          <w:rFonts w:ascii="Times New Roman" w:hAnsi="Times New Roman" w:eastAsia="Times New Roman" w:cs="Times New Roman"/>
          <w:b w:val="0"/>
          <w:sz w:val="28"/>
        </w:rPr>
        <w:t>”</w:t>
      </w:r>
      <w:r>
        <w:rPr>
          <w:rFonts w:ascii="Times New Roman" w:hAnsi="Times New Roman" w:eastAsia="仿宋" w:cs="Times New Roman"/>
          <w:b w:val="0"/>
          <w:sz w:val="28"/>
        </w:rPr>
        <w:t>向</w:t>
      </w:r>
      <w:r>
        <w:rPr>
          <w:rFonts w:ascii="Times New Roman" w:hAnsi="Times New Roman" w:eastAsia="Times New Roman" w:cs="Times New Roman"/>
          <w:b w:val="0"/>
          <w:sz w:val="28"/>
        </w:rPr>
        <w:t>“</w:t>
      </w:r>
      <w:r>
        <w:rPr>
          <w:rFonts w:ascii="Times New Roman" w:hAnsi="Times New Roman" w:eastAsia="仿宋" w:cs="Times New Roman"/>
          <w:b w:val="0"/>
          <w:sz w:val="28"/>
        </w:rPr>
        <w:t>管资本</w:t>
      </w:r>
      <w:r>
        <w:rPr>
          <w:rFonts w:ascii="Times New Roman" w:hAnsi="Times New Roman" w:eastAsia="Times New Roman" w:cs="Times New Roman"/>
          <w:b w:val="0"/>
          <w:sz w:val="28"/>
        </w:rPr>
        <w:t>”</w:t>
      </w:r>
      <w:r>
        <w:rPr>
          <w:rFonts w:ascii="Times New Roman" w:hAnsi="Times New Roman" w:eastAsia="仿宋" w:cs="Times New Roman"/>
          <w:b w:val="0"/>
          <w:sz w:val="28"/>
        </w:rPr>
        <w:t>转型的实效提供了鲜活样本。</w:t>
      </w:r>
    </w:p>
    <w:p>
      <w:pPr>
        <w:spacing w:before="0" w:after="0" w:line="240" w:lineRule="auto" w:beforeLines="0" w:afterLines="0"/>
        <w:jc w:val="both"/>
        <w:ind w:firstLineChars="200"/>
      </w:pPr>
      <w:r>
        <w:rPr>
          <w:rFonts w:ascii="Times New Roman" w:hAnsi="Times New Roman" w:eastAsia="仿宋" w:cs="Times New Roman"/>
          <w:b w:val="0"/>
          <w:sz w:val="28"/>
        </w:rPr>
        <w:t>回到上海浦东资本投资运营与上海畅联国际物流，本案的方法论意义不在于把交易结果写成通用并购总结，而在于把471,040,268.67元、转让股份数量：91,688,980股；转让股份比例：约占公司总股本25%；转让价格：471,040,268.67元；定价基准日：2025年12月31日、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浦东资本投资运营而言，关键是交割承接和整合节奏能否与已披露安排匹配；对上海畅联国际物流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