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安阳钢铁收购安阳钢铁：要约与控制权安排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本案例涉及安阳钢铁集团有限责任公司（下称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安阳钢铁</w:t>
      </w:r>
      <w:r>
        <w:rPr>
          <w:rFonts w:ascii="Times New Roman" w:hAnsi="Times New Roman" w:eastAsia="Times New Roman" w:cs="Times New Roman"/>
          <w:b w:val="0"/>
          <w:sz w:val="28"/>
        </w:rPr>
        <w:t>”</w:t>
      </w:r>
      <w:r>
        <w:rPr>
          <w:rFonts w:ascii="Times New Roman" w:hAnsi="Times New Roman" w:eastAsia="仿宋" w:cs="Times New Roman"/>
          <w:b w:val="0"/>
          <w:sz w:val="28"/>
        </w:rPr>
        <w:t>）收购安阳钢铁股份有限公司（下称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安阳钢铁</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安阳钢铁集团披露收购报告书摘要，可能涉及对安阳钢铁的控股股权收购，目标线索为安阳钢铁集团披露收购报告书摘要，可能涉及对安阳钢铁的控股股权收购。；收购报告书摘要已披露。2026年6月24日。</w:t>
      </w:r>
    </w:p>
    <w:p>
      <w:pPr>
        <w:spacing w:before="0" w:after="0" w:line="240" w:lineRule="auto" w:beforeLines="0" w:afterLines="0"/>
        <w:jc w:val="left"/>
        <w:ind w:firstLineChars="200"/>
      </w:pPr>
      <w:r>
        <w:rPr>
          <w:rFonts w:ascii="Times New Roman" w:hAnsi="Times New Roman" w:eastAsia="仿宋" w:cs="Times New Roman"/>
          <w:b/>
          <w:sz w:val="28"/>
        </w:rPr>
        <w:t>一、安钢集团已持股超50%，安阳钢铁系省内钢铁资产的核心上市平台</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事实披露边界上，本案可引用的交易对价、估值或支付口径为根据《上市公司收购管理办法》第六十三条第一款第（五）项关于</w:t>
      </w:r>
      <w:r>
        <w:rPr>
          <w:rFonts w:ascii="Times New Roman" w:hAnsi="Times New Roman" w:eastAsia="Times New Roman" w:cs="Times New Roman"/>
          <w:b w:val="0"/>
          <w:sz w:val="28"/>
        </w:rPr>
        <w:t>“</w:t>
      </w:r>
      <w:r>
        <w:rPr>
          <w:rFonts w:ascii="Times New Roman" w:hAnsi="Times New Roman" w:eastAsia="仿宋" w:cs="Times New Roman"/>
          <w:b w:val="0"/>
          <w:sz w:val="28"/>
        </w:rPr>
        <w:t>有下列情形之一的，投资者可以免于发出要约：…… （五）在一个上市公司中拥有权益的股份达到或者超过该公司已发行股份的50% 的，继续增加其在该公司拥有的权益不影响该公司的上市地位</w:t>
      </w:r>
      <w:r>
        <w:rPr>
          <w:rFonts w:ascii="Times New Roman" w:hAnsi="Times New Roman" w:eastAsia="Times New Roman" w:cs="Times New Roman"/>
          <w:b w:val="0"/>
          <w:sz w:val="28"/>
        </w:rPr>
        <w:t>”</w:t>
      </w:r>
      <w:r>
        <w:rPr>
          <w:rFonts w:ascii="Times New Roman" w:hAnsi="Times New Roman" w:eastAsia="仿宋" w:cs="Times New Roman"/>
          <w:b w:val="0"/>
          <w:sz w:val="28"/>
        </w:rPr>
        <w:t>的规定，安阳钢铁认购发行的股票符合适用免于发出要约的情形。；时间线包。</w:t>
      </w:r>
    </w:p>
    <w:p>
      <w:pPr>
        <w:spacing w:before="0" w:after="0" w:line="240" w:lineRule="auto" w:beforeLines="0" w:afterLines="0"/>
        <w:jc w:val="both"/>
        <w:ind w:firstLineChars="200"/>
      </w:pPr>
      <w:r>
        <w:rPr>
          <w:rFonts w:ascii="Times New Roman" w:hAnsi="Times New Roman" w:eastAsia="仿宋" w:cs="Times New Roman"/>
          <w:b w:val="0"/>
          <w:sz w:val="28"/>
        </w:rPr>
        <w:t>本次收购启动前，安钢集团已持有安阳钢铁超过50%的股份，处于绝对控股地位。安阳钢铁主营业务为黑色金属冶炼和压延加工，是河南省属重点钢铁企业，也是安钢集团旗下唯一的钢铁冶炼上市平台。安钢集团的股权结构显示，其控股股东为河南钢铁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河南钢铁集团</w:t>
      </w:r>
      <w:r>
        <w:rPr>
          <w:rFonts w:ascii="Times New Roman" w:hAnsi="Times New Roman" w:eastAsia="Times New Roman" w:cs="Times New Roman"/>
          <w:b w:val="0"/>
          <w:sz w:val="28"/>
        </w:rPr>
        <w:t>”</w:t>
      </w:r>
      <w:r>
        <w:rPr>
          <w:rFonts w:ascii="Times New Roman" w:hAnsi="Times New Roman" w:eastAsia="仿宋" w:cs="Times New Roman"/>
          <w:b w:val="0"/>
          <w:sz w:val="28"/>
        </w:rPr>
        <w:t>），持股比例约为72%，控制关系向上穿透至河南省国资委。除安阳钢铁外，安钢集团还控制着河南钢铁控股集团。</w:t>
      </w:r>
    </w:p>
    <w:p>
      <w:pPr>
        <w:spacing w:before="0" w:after="0" w:line="240" w:lineRule="auto" w:beforeLines="0" w:afterLines="0"/>
        <w:jc w:val="both"/>
        <w:ind w:firstLineChars="200"/>
      </w:pPr>
      <w:r>
        <w:rPr>
          <w:rFonts w:ascii="Times New Roman" w:hAnsi="Times New Roman" w:eastAsia="仿宋" w:cs="Times New Roman"/>
          <w:b w:val="0"/>
          <w:sz w:val="28"/>
        </w:rPr>
        <w:t>从产业位置观察，安阳钢铁在区域整合中扮演关键角色。河南省近年持续推进钢铁行业重组，力图通过龙头国企整合省内产能，提升产业集中度。安阳钢铁作为安钢集团旗下核心冶炼资产，其控制权结构与资本厚度，直接关系到整合能否顺畅推进。交易前，安钢集团持股虽已超过50%，但在修改章程、增减注册资本、重大资产重组等特别决议事项上，仍需联合其他股东才能达到三分之二以上的表决权。与。</w:t>
      </w:r>
    </w:p>
    <w:p>
      <w:pPr>
        <w:spacing w:before="0" w:after="0" w:line="240" w:lineRule="auto" w:beforeLines="0" w:afterLines="0"/>
        <w:jc w:val="left"/>
        <w:ind w:firstLineChars="200"/>
      </w:pPr>
      <w:r>
        <w:rPr>
          <w:rFonts w:ascii="Times New Roman" w:hAnsi="Times New Roman" w:eastAsia="仿宋" w:cs="Times New Roman"/>
          <w:b/>
          <w:sz w:val="28"/>
        </w:rPr>
        <w:t>二、定向增发近8.6亿股并援引免于要约，控股股东低成本将持股推至75.86%</w:t>
      </w:r>
    </w:p>
    <w:p>
      <w:pPr>
        <w:spacing w:before="0" w:after="0" w:line="240" w:lineRule="auto" w:beforeLines="0" w:afterLines="0"/>
        <w:jc w:val="both"/>
        <w:ind w:firstLineChars="200"/>
      </w:pPr>
      <w:r>
        <w:rPr>
          <w:rFonts w:ascii="Times New Roman" w:hAnsi="Times New Roman" w:eastAsia="仿宋" w:cs="Times New Roman"/>
          <w:b w:val="0"/>
          <w:sz w:val="28"/>
        </w:rPr>
        <w:t>此次交易的核心安排是安阳钢铁向安钢集团非公开发行不超过861,726,415股A股股票，安钢集团以现金全额认购。发行完成后，安钢集团持股比例预计由原先超过50%上升至约75.86%，公众股东持股比例则相应摊薄至24.14%左右，但仍远高于《证券法》规定的10%最低线，不影响上市地位。收购报告书摘要未披露每股发行价格，仅提及以不超过一定金额（原文截断）认购全部。</w:t>
      </w:r>
    </w:p>
    <w:p>
      <w:pPr>
        <w:spacing w:before="0" w:after="0" w:line="240" w:lineRule="auto" w:beforeLines="0" w:afterLines="0"/>
        <w:jc w:val="both"/>
        <w:ind w:firstLineChars="200"/>
      </w:pPr>
      <w:r>
        <w:rPr>
          <w:rFonts w:ascii="Times New Roman" w:hAnsi="Times New Roman" w:eastAsia="仿宋" w:cs="Times New Roman"/>
          <w:b w:val="0"/>
          <w:sz w:val="28"/>
        </w:rPr>
        <w:t>结构设计的关键在于免于发出全面要约。根据《上市公司收购管理办法》第六十三条第一款第（五）项，投资者在一个上市公司中拥有权益的股份达到或超过该公司已发行股份的50%，继续增加其在该公司拥有的权益且不影响上市地位的，可以免于发出要约。安钢集团交易前已持股超50%，发行后公众持股比例符合上市条件，故该项豁免条款被直接援引。这一设计使整个交易规避了向全体股东发出收购。</w:t>
      </w:r>
    </w:p>
    <w:p>
      <w:pPr>
        <w:spacing w:before="0" w:after="0" w:line="240" w:lineRule="auto" w:beforeLines="0" w:afterLines="0"/>
        <w:jc w:val="left"/>
        <w:ind w:firstLineChars="200"/>
      </w:pPr>
      <w:r>
        <w:rPr>
          <w:rFonts w:ascii="Times New Roman" w:hAnsi="Times New Roman" w:eastAsia="仿宋" w:cs="Times New Roman"/>
          <w:b/>
          <w:sz w:val="28"/>
        </w:rPr>
        <w:t>三、免于要约条款的制度逻辑：规则框架下的低成本控制权集中路径</w:t>
      </w:r>
    </w:p>
    <w:p>
      <w:pPr>
        <w:spacing w:before="0" w:after="0" w:line="240" w:lineRule="auto" w:beforeLines="0" w:afterLines="0"/>
        <w:jc w:val="both"/>
        <w:ind w:firstLineChars="200"/>
      </w:pPr>
      <w:r>
        <w:rPr>
          <w:rFonts w:ascii="Times New Roman" w:hAnsi="Times New Roman" w:eastAsia="仿宋" w:cs="Times New Roman"/>
          <w:b w:val="0"/>
          <w:sz w:val="28"/>
        </w:rPr>
        <w:t>《收购办法》第六十三条第五项的立法初衷，是避免因持股比例微调而频繁触发全面要约，降低控制权结构调整的制度成本，提高市场运行效率。安钢集团本次增持精准契合两项法定要件：已持有50%以上权益，且增持后不影响上市地位。从合规性角度审视，援引免于要约几无争议。但在实务中，此类操作常被视为控股股东借助定向增发实现的</w:t>
      </w:r>
      <w:r>
        <w:rPr>
          <w:rFonts w:ascii="Times New Roman" w:hAnsi="Times New Roman" w:eastAsia="Times New Roman" w:cs="Times New Roman"/>
          <w:b w:val="0"/>
          <w:sz w:val="28"/>
        </w:rPr>
        <w:t>“</w:t>
      </w:r>
      <w:r>
        <w:rPr>
          <w:rFonts w:ascii="Times New Roman" w:hAnsi="Times New Roman" w:eastAsia="仿宋" w:cs="Times New Roman"/>
          <w:b w:val="0"/>
          <w:sz w:val="28"/>
        </w:rPr>
        <w:t>规则套利</w:t>
      </w:r>
      <w:r>
        <w:rPr>
          <w:rFonts w:ascii="Times New Roman" w:hAnsi="Times New Roman" w:eastAsia="Times New Roman" w:cs="Times New Roman"/>
          <w:b w:val="0"/>
          <w:sz w:val="28"/>
        </w:rPr>
        <w:t>”</w:t>
      </w:r>
      <w:r>
        <w:rPr>
          <w:rFonts w:ascii="Times New Roman" w:hAnsi="Times New Roman" w:eastAsia="仿宋" w:cs="Times New Roman"/>
          <w:b w:val="0"/>
          <w:sz w:val="28"/>
        </w:rPr>
        <w:t>，即在无需向公众股东发出要约、无需支付控制权溢价的条件下，将持股一举拉升至绝对控制线之上，锁定了对上市公司的实际支配。</w:t>
      </w:r>
    </w:p>
    <w:p>
      <w:pPr>
        <w:spacing w:before="0" w:after="0" w:line="240" w:lineRule="auto" w:beforeLines="0" w:afterLines="0"/>
        <w:jc w:val="both"/>
        <w:ind w:firstLineChars="200"/>
      </w:pPr>
      <w:r>
        <w:rPr>
          <w:rFonts w:ascii="Times New Roman" w:hAnsi="Times New Roman" w:eastAsia="仿宋" w:cs="Times New Roman"/>
          <w:b w:val="0"/>
          <w:sz w:val="28"/>
        </w:rPr>
        <w:t>本案的条款细节强化了这一特征。根据向特定对象发行股票的惯常规定，发行价格应不低于定价基准日前20个交易日股票交易均价的80%，若安阳钢铁股价处于阶段性低位，安钢集团实际上可以折扣价格完成增持，这进一步压低了控制权强化的直接财务成本。与此同时，公众股东既无优先认购权，也无法通过要约途径按统一价格退出，其股份被强制摊薄，却难以分享控制权转移带来的溢价。这一安排在。</w:t>
      </w:r>
    </w:p>
    <w:p>
      <w:pPr>
        <w:spacing w:before="0" w:after="0" w:line="240" w:lineRule="auto" w:beforeLines="0" w:afterLines="0"/>
        <w:jc w:val="left"/>
        <w:ind w:firstLineChars="200"/>
      </w:pPr>
      <w:r>
        <w:rPr>
          <w:rFonts w:ascii="Times New Roman" w:hAnsi="Times New Roman" w:eastAsia="仿宋" w:cs="Times New Roman"/>
          <w:b/>
          <w:sz w:val="28"/>
        </w:rPr>
        <w:t>四、安钢集团总资产约601亿元形成认购基础，但资金来源与真实财务压力未解</w:t>
      </w:r>
    </w:p>
    <w:p>
      <w:pPr>
        <w:spacing w:before="0" w:after="0" w:line="240" w:lineRule="auto" w:beforeLines="0" w:afterLines="0"/>
        <w:jc w:val="both"/>
        <w:ind w:firstLineChars="200"/>
      </w:pPr>
      <w:r>
        <w:rPr>
          <w:rFonts w:ascii="Times New Roman" w:hAnsi="Times New Roman" w:eastAsia="仿宋" w:cs="Times New Roman"/>
          <w:b w:val="0"/>
          <w:sz w:val="28"/>
        </w:rPr>
        <w:t>财务层面，收购报告书摘要仅给予了安钢集团2025年末的合并资产总计约6,013,405万元（约601.34亿元），2024年及2023年数据均缺失，收入、净利润、负债及现金流等关键指标一概未公布。以超过601亿元的总资产体量衡量，安钢集团确有足够的财务空间承担本次认购义务，即便募集规模达到数十亿元级别，其资产规模仍可提供名义支撑。然而，总资产规模本身无法替代。</w:t>
      </w:r>
    </w:p>
    <w:p>
      <w:pPr>
        <w:spacing w:before="0" w:after="0" w:line="240" w:lineRule="auto" w:beforeLines="0" w:afterLines="0"/>
        <w:jc w:val="both"/>
        <w:ind w:firstLineChars="200"/>
      </w:pPr>
      <w:r>
        <w:rPr>
          <w:rFonts w:ascii="Times New Roman" w:hAnsi="Times New Roman" w:eastAsia="仿宋" w:cs="Times New Roman"/>
          <w:b w:val="0"/>
          <w:sz w:val="28"/>
        </w:rPr>
        <w:t>收购报告书未对资金来源加以说明，可能的情形包括动用自有资金、银行借款或通过河南钢铁集团的资金池调配。若主要依赖债务融资，将推高安钢集团合并口径的负债率，进而削弱其后续对安阳钢铁的资本投入能力，甚至可能引发关联方资金占用等衍生风险。此外，安阳钢铁自身的财务数据亦未在报告书中呈现，投资者无法评估此次定向增发募投项目的预期回报，也无法辨析摊薄效应的实际影响。在并购。</w:t>
      </w:r>
    </w:p>
    <w:p>
      <w:pPr>
        <w:spacing w:before="0" w:after="0" w:line="240" w:lineRule="auto" w:beforeLines="0" w:afterLines="0"/>
        <w:jc w:val="left"/>
        <w:ind w:firstLineChars="200"/>
      </w:pPr>
      <w:r>
        <w:rPr>
          <w:rFonts w:ascii="Times New Roman" w:hAnsi="Times New Roman" w:eastAsia="仿宋" w:cs="Times New Roman"/>
          <w:b/>
          <w:sz w:val="28"/>
        </w:rPr>
        <w:t>五、75.86%持股下的治理失衡：关联交易通道洞开与中小股东保护缺位</w:t>
      </w:r>
    </w:p>
    <w:p>
      <w:pPr>
        <w:spacing w:before="0" w:after="0" w:line="240" w:lineRule="auto" w:beforeLines="0" w:afterLines="0"/>
        <w:jc w:val="both"/>
        <w:ind w:firstLineChars="200"/>
      </w:pPr>
      <w:r>
        <w:rPr>
          <w:rFonts w:ascii="Times New Roman" w:hAnsi="Times New Roman" w:eastAsia="仿宋" w:cs="Times New Roman"/>
          <w:b w:val="0"/>
          <w:sz w:val="28"/>
        </w:rPr>
        <w:t>增持完成后，安钢集团将持有安阳钢铁约75.86%的股份，不仅远超50%的绝对控股线，更跨越了三分之二以上的特别决议门槛，自此可单方面推动章程修改、增减注册资本、重大资产重组、公司合并或分立等所有关乎上市公司根基的议案。控制权的极度集中虽可提升决策效率，却也意味着内部制衡机制被极大削弱，控股股东获取私人利益的动机与能力同步上升。尤其在关联交易领域，安钢集团旗下。</w:t>
      </w:r>
    </w:p>
    <w:p>
      <w:pPr>
        <w:spacing w:before="0" w:after="0" w:line="240" w:lineRule="auto" w:beforeLines="0" w:afterLines="0"/>
        <w:jc w:val="both"/>
        <w:ind w:firstLineChars="200"/>
      </w:pPr>
      <w:r>
        <w:rPr>
          <w:rFonts w:ascii="Times New Roman" w:hAnsi="Times New Roman" w:eastAsia="仿宋" w:cs="Times New Roman"/>
          <w:b w:val="0"/>
          <w:sz w:val="28"/>
        </w:rPr>
        <w:t>令人瞩目的是，本次收购报告书摘要未提及任何针对中小股东的保护性条款，例如提高关联交易的表决门槛、增加独立董事的否决权、设置中小股东可接受的退出机制等。仅有的声明是</w:t>
      </w:r>
      <w:r>
        <w:rPr>
          <w:rFonts w:ascii="Times New Roman" w:hAnsi="Times New Roman" w:eastAsia="Times New Roman" w:cs="Times New Roman"/>
          <w:b w:val="0"/>
          <w:sz w:val="28"/>
        </w:rPr>
        <w:t>“</w:t>
      </w:r>
      <w:r>
        <w:rPr>
          <w:rFonts w:ascii="Times New Roman" w:hAnsi="Times New Roman" w:eastAsia="仿宋" w:cs="Times New Roman"/>
          <w:b w:val="0"/>
          <w:sz w:val="28"/>
        </w:rPr>
        <w:t>收购人承诺本案例书不存在虚假记载</w:t>
      </w:r>
      <w:r>
        <w:rPr>
          <w:rFonts w:ascii="Times New Roman" w:hAnsi="Times New Roman" w:eastAsia="Times New Roman" w:cs="Times New Roman"/>
          <w:b w:val="0"/>
          <w:sz w:val="28"/>
        </w:rPr>
        <w:t>”</w:t>
      </w:r>
      <w:r>
        <w:rPr>
          <w:rFonts w:ascii="Times New Roman" w:hAnsi="Times New Roman" w:eastAsia="仿宋" w:cs="Times New Roman"/>
          <w:b w:val="0"/>
          <w:sz w:val="28"/>
        </w:rPr>
        <w:t>及</w:t>
      </w:r>
      <w:r>
        <w:rPr>
          <w:rFonts w:ascii="Times New Roman" w:hAnsi="Times New Roman" w:eastAsia="Times New Roman" w:cs="Times New Roman"/>
          <w:b w:val="0"/>
          <w:sz w:val="28"/>
        </w:rPr>
        <w:t>“</w:t>
      </w:r>
      <w:r>
        <w:rPr>
          <w:rFonts w:ascii="Times New Roman" w:hAnsi="Times New Roman" w:eastAsia="仿宋" w:cs="Times New Roman"/>
          <w:b w:val="0"/>
          <w:sz w:val="28"/>
        </w:rPr>
        <w:t>未来12个月内暂无增减持计划</w:t>
      </w:r>
      <w:r>
        <w:rPr>
          <w:rFonts w:ascii="Times New Roman" w:hAnsi="Times New Roman" w:eastAsia="Times New Roman" w:cs="Times New Roman"/>
          <w:b w:val="0"/>
          <w:sz w:val="28"/>
        </w:rPr>
        <w:t>”</w:t>
      </w:r>
      <w:r>
        <w:rPr>
          <w:rFonts w:ascii="Times New Roman" w:hAnsi="Times New Roman" w:eastAsia="仿宋" w:cs="Times New Roman"/>
          <w:b w:val="0"/>
          <w:sz w:val="28"/>
        </w:rPr>
        <w:t>，对于治理结构的优化毫无涉及。公开资料亦未显示安阳钢铁独立董事或董事会就本次发行对中小股东权益的影响发表专项意见，这进一步拉大了。</w:t>
      </w:r>
    </w:p>
    <w:p>
      <w:pPr>
        <w:spacing w:before="0" w:after="0" w:line="240" w:lineRule="auto" w:beforeLines="0" w:afterLines="0"/>
        <w:jc w:val="left"/>
        <w:ind w:firstLineChars="200"/>
      </w:pPr>
      <w:r>
        <w:rPr>
          <w:rFonts w:ascii="Times New Roman" w:hAnsi="Times New Roman" w:eastAsia="仿宋" w:cs="Times New Roman"/>
          <w:b/>
          <w:sz w:val="28"/>
        </w:rPr>
        <w:t>六、结语：要约与控制权安排的核验方法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安钢集团通过认购定向增发并援引免于要约条款，将安阳钢铁持股比例提升至75.86%，是控股股东在不触发全面要约、不支付控制权溢价的前提下，低成本强化核心上市平台控制权的一次典型操作。该模式对地方国有资本整合旗下上市资源具有直观的方法论参考价值：它避免了要约收购的复杂程序与高额成本，同时通过现金认购为上市公司注入资本，在形式上实现了</w:t>
      </w:r>
      <w:r>
        <w:rPr>
          <w:rFonts w:ascii="Times New Roman" w:hAnsi="Times New Roman" w:eastAsia="Times New Roman" w:cs="Times New Roman"/>
          <w:b w:val="0"/>
          <w:sz w:val="28"/>
        </w:rPr>
        <w:t>“</w:t>
      </w:r>
      <w:r>
        <w:rPr>
          <w:rFonts w:ascii="Times New Roman" w:hAnsi="Times New Roman" w:eastAsia="仿宋" w:cs="Times New Roman"/>
          <w:b w:val="0"/>
          <w:sz w:val="28"/>
        </w:rPr>
        <w:t>融资与控制力提升</w:t>
      </w:r>
      <w:r>
        <w:rPr>
          <w:rFonts w:ascii="Times New Roman" w:hAnsi="Times New Roman" w:eastAsia="Times New Roman" w:cs="Times New Roman"/>
          <w:b w:val="0"/>
          <w:sz w:val="28"/>
        </w:rPr>
        <w:t>”</w:t>
      </w:r>
      <w:r>
        <w:rPr>
          <w:rFonts w:ascii="Times New Roman" w:hAnsi="Times New Roman" w:eastAsia="仿宋" w:cs="Times New Roman"/>
          <w:b w:val="0"/>
          <w:sz w:val="28"/>
        </w:rPr>
        <w:t>的双重目标。对于面临产业整合但资金不宽裕的国有控股集团，这一路径具有高度可复制性。</w:t>
      </w:r>
    </w:p>
    <w:p>
      <w:pPr>
        <w:spacing w:before="0" w:after="0" w:line="240" w:lineRule="auto" w:beforeLines="0" w:afterLines="0"/>
        <w:jc w:val="both"/>
        <w:ind w:firstLineChars="200"/>
      </w:pPr>
      <w:r>
        <w:rPr>
          <w:rFonts w:ascii="Times New Roman" w:hAnsi="Times New Roman" w:eastAsia="仿宋" w:cs="Times New Roman"/>
          <w:b w:val="0"/>
          <w:sz w:val="28"/>
        </w:rPr>
        <w:t>然而，本案同样揭示出，单纯的规则套利无法掩盖中小股东保护机制的缺失。75.86%的持股比例使控股股东在治理上几乎不受制衡，而信息披露的不完整（如未披露定价、资金来源、财务全貌）又进一步削弱了外部监督。并购方法论上，此类交易在设计时应当主动嵌入三项保护性安排：一是发行定价须引入独立财务顾问评估或市场询价，确保认购价格公允，避免过度折价；二是明确承诺将关联交易占比控制在合理区间，并赋予独立董事对重大关联交易的一票否决权；三是设置未来资产注入时优先向公众股东配售或给予现金选择权的机制，以对冲权益摊薄。安钢集团本次收购尚在推进之中，最终发行价格、募集规模及监管反馈仍存在变数，但无论结果如何，它已经为市场演示了一种规则边界内的控制权强化范式。其最根本的启示在于：成熟市场的并购操作，不仅要求善用合规工具，更需要在效率与公平之间主动建构治理平衡，确保控股股东意志与上市公司整体利益相兼容。唯有如此，免约增持才能从单纯的规则套利范式，升华为兼顾各相关方利益的可持续并购路径。</w:t>
      </w:r>
    </w:p>
    <w:p>
      <w:pPr>
        <w:spacing w:before="0" w:after="0" w:line="240" w:lineRule="auto" w:beforeLines="0" w:afterLines="0"/>
        <w:jc w:val="both"/>
        <w:ind w:firstLineChars="200"/>
      </w:pPr>
      <w:r>
        <w:rPr>
          <w:rFonts w:ascii="Times New Roman" w:hAnsi="Times New Roman" w:eastAsia="仿宋" w:cs="Times New Roman"/>
          <w:b w:val="0"/>
          <w:sz w:val="28"/>
        </w:rPr>
        <w:t>回到安阳钢铁与安阳钢铁，本案的方法论意义不在于把交易结果写成通用并购总结，而在于把根据《上市公司收购管理办法》第六十三条第一款第（五）项关于</w:t>
      </w:r>
      <w:r>
        <w:rPr>
          <w:rFonts w:ascii="Times New Roman" w:hAnsi="Times New Roman" w:eastAsia="Times New Roman" w:cs="Times New Roman"/>
          <w:b w:val="0"/>
          <w:sz w:val="28"/>
        </w:rPr>
        <w:t>“</w:t>
      </w:r>
      <w:r>
        <w:rPr>
          <w:rFonts w:ascii="Times New Roman" w:hAnsi="Times New Roman" w:eastAsia="仿宋" w:cs="Times New Roman"/>
          <w:b w:val="0"/>
          <w:sz w:val="28"/>
        </w:rPr>
        <w:t>有下列情形之一的，投资者可以免于发出要约：…… （五）在一个上市公司中拥有权益的股份达到或者超过该公司已发行股份的50% 的，继续增加其在该公司拥有的权益不影响该公司的上市地位</w:t>
      </w:r>
      <w:r>
        <w:rPr>
          <w:rFonts w:ascii="Times New Roman" w:hAnsi="Times New Roman" w:eastAsia="Times New Roman" w:cs="Times New Roman"/>
          <w:b w:val="0"/>
          <w:sz w:val="28"/>
        </w:rPr>
        <w:t>”</w:t>
      </w:r>
      <w:r>
        <w:rPr>
          <w:rFonts w:ascii="Times New Roman" w:hAnsi="Times New Roman" w:eastAsia="仿宋" w:cs="Times New Roman"/>
          <w:b w:val="0"/>
          <w:sz w:val="28"/>
        </w:rPr>
        <w:t>的规定，安阳钢铁认购发行的股票符合适用免于发出要约的情形。、交易状态/完成年份：2026-06-24；20 5释义在本案例书中，除非另有说明，下列简称具有如下含义： 本案例书指《安阳钢铁集团有限责任公司收购报告书摘要》安阳钢铁/公司/上市公司/本公司/发行人指安阳钢铁股份有限公司安钢集团/控股股东指安阳钢铁集团有限责任公司本次发行/本次发行；1证券代码：600569证券简称：安阳钢铁安阳钢铁股份有限公司收购报告书摘要上市公司名称：安阳钢铁股份有限公司股票上市地点：上海证券交易所股票简称：安阳钢铁股票代码：600569收购人名称：安阳钢铁集团有限责任公司注册地址：河南省安阳市殷都；招标投标代理（二）股权结构及控制关系截至本案例书公告日，安钢集团与其控股股东、实际控制人之间的股权控制关系如下图所示： 7（三）安钢集团控制的主要企业情况截至本案例书公告日，除安阳钢铁外，安钢集团控制的主要企业情况如下： 序号公司名称主营业、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安阳钢铁而言，关键是交割承接和整合节奏能否与已披露安排匹配；对安阳钢铁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