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杭州拼便宜网络科技收购嘉亨家化：要约与控制权安排</w:t>
      </w:r>
    </w:p>
    <w:p>
      <w:pPr>
        <w:spacing w:before="0" w:after="0" w:line="240" w:lineRule="auto" w:beforeLines="0" w:afterLines="0"/>
        <w:jc w:val="both"/>
        <w:ind w:firstLineChars="200"/>
      </w:pPr>
      <w:r>
        <w:rPr>
          <w:rFonts w:ascii="Times New Roman" w:hAnsi="Times New Roman" w:eastAsia="仿宋" w:cs="Times New Roman"/>
          <w:b w:val="0"/>
          <w:sz w:val="28"/>
        </w:rPr>
        <w:t>本案例涉及杭州拼便宜网络科技有限公司（下称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杭州拼便宜网络科技</w:t>
      </w:r>
      <w:r>
        <w:rPr>
          <w:rFonts w:ascii="Times New Roman" w:hAnsi="Times New Roman" w:eastAsia="Times New Roman" w:cs="Times New Roman"/>
          <w:b w:val="0"/>
          <w:sz w:val="28"/>
        </w:rPr>
        <w:t>”</w:t>
      </w:r>
      <w:r>
        <w:rPr>
          <w:rFonts w:ascii="Times New Roman" w:hAnsi="Times New Roman" w:eastAsia="仿宋" w:cs="Times New Roman"/>
          <w:b w:val="0"/>
          <w:sz w:val="28"/>
        </w:rPr>
        <w:t>）收购嘉亨家化（下称</w:t>
      </w:r>
      <w:r>
        <w:rPr>
          <w:rFonts w:ascii="Times New Roman" w:hAnsi="Times New Roman" w:eastAsia="Times New Roman" w:cs="Times New Roman"/>
          <w:b w:val="0"/>
          <w:sz w:val="28"/>
        </w:rPr>
        <w:t>“</w:t>
      </w:r>
      <w:r>
        <w:rPr>
          <w:rFonts w:ascii="Times New Roman" w:hAnsi="Times New Roman" w:eastAsia="仿宋" w:cs="Times New Roman"/>
          <w:b w:val="0"/>
          <w:sz w:val="28"/>
        </w:rPr>
        <w:t>嘉亨家化</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杭州拼便宜要约收购嘉亨家化，拟取得控制权，目标线索为杭州拼便宜要约收购嘉亨家化，拟取得控制权；要约收购。2025年12月31日，嘉亨家化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嘉亨家化</w:t>
      </w:r>
      <w:r>
        <w:rPr>
          <w:rFonts w:ascii="Times New Roman" w:hAnsi="Times New Roman" w:eastAsia="Times New Roman" w:cs="Times New Roman"/>
          <w:b w:val="0"/>
          <w:sz w:val="28"/>
        </w:rPr>
        <w:t>”</w:t>
      </w:r>
      <w:r>
        <w:rPr>
          <w:rFonts w:ascii="Times New Roman" w:hAnsi="Times New Roman" w:eastAsia="仿宋" w:cs="Times New Roman"/>
          <w:b w:val="0"/>
          <w:sz w:val="28"/>
        </w:rPr>
        <w:t>）原实际控制人曾本生与杭州拼便宜网络科技有限公司（下称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杭州拼便宜</w:t>
      </w:r>
      <w:r>
        <w:rPr>
          <w:rFonts w:ascii="Times New Roman" w:hAnsi="Times New Roman" w:eastAsia="Times New Roman" w:cs="Times New Roman"/>
          <w:b w:val="0"/>
          <w:sz w:val="28"/>
        </w:rPr>
        <w:t>”</w:t>
      </w:r>
      <w:r>
        <w:rPr>
          <w:rFonts w:ascii="Times New Roman" w:hAnsi="Times New Roman" w:eastAsia="仿宋" w:cs="Times New Roman"/>
          <w:b w:val="0"/>
          <w:sz w:val="28"/>
        </w:rPr>
        <w:t>）签署《股份转让协议一》，以33.50元/股转让19,555,200股（占19.55%），转让款约6.55亿元；同时曾本生承诺预受后续部分要约，并放弃剩余26,000,612股表决权直至要约完成。2026年6月23日，杭州拼便宜发布要约收购报告书，拟以同等价格发起部分要约巩固控制权。本案以</w:t>
      </w:r>
      <w:r>
        <w:rPr>
          <w:rFonts w:ascii="Times New Roman" w:hAnsi="Times New Roman" w:eastAsia="Times New Roman" w:cs="Times New Roman"/>
          <w:b w:val="0"/>
          <w:sz w:val="28"/>
        </w:rPr>
        <w:t>“</w:t>
      </w:r>
      <w:r>
        <w:rPr>
          <w:rFonts w:ascii="Times New Roman" w:hAnsi="Times New Roman" w:eastAsia="仿宋" w:cs="Times New Roman"/>
          <w:b w:val="0"/>
          <w:sz w:val="28"/>
        </w:rPr>
        <w:t>协议转让+表决权放弃+部分要约</w:t>
      </w:r>
      <w:r>
        <w:rPr>
          <w:rFonts w:ascii="Times New Roman" w:hAnsi="Times New Roman" w:eastAsia="Times New Roman" w:cs="Times New Roman"/>
          <w:b w:val="0"/>
          <w:sz w:val="28"/>
        </w:rPr>
        <w:t>”</w:t>
      </w:r>
      <w:r>
        <w:rPr>
          <w:rFonts w:ascii="Times New Roman" w:hAnsi="Times New Roman" w:eastAsia="仿宋" w:cs="Times New Roman"/>
          <w:b w:val="0"/>
          <w:sz w:val="28"/>
        </w:rPr>
        <w:t>三阶结构实现控股权让渡，要约价格较提示性公告前30日加权均价38.24元/股折让12.41%，其合规性论证成为关键节点，为观察非典型控股权收购的结构设计与监管对话提供了完整样本。</w:t>
      </w:r>
    </w:p>
    <w:p>
      <w:pPr>
        <w:spacing w:before="0" w:after="0" w:line="240" w:lineRule="auto" w:beforeLines="0" w:afterLines="0"/>
        <w:jc w:val="left"/>
        <w:ind w:firstLineChars="200"/>
      </w:pPr>
      <w:r>
        <w:rPr>
          <w:rFonts w:ascii="Times New Roman" w:hAnsi="Times New Roman" w:eastAsia="仿宋" w:cs="Times New Roman"/>
          <w:b/>
          <w:sz w:val="28"/>
        </w:rPr>
        <w:t>一、控制权让渡的结构设计：以表决权放弃为核心的即时控制权转移</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要约收购；控制权/表决权安排；时间线包括2025-12-31：签署《股份转让协议一》，协议转让19,555,200股；2026-06-23：发布要约收购报告书，进行中；关键数字包括协议转让19,555,200股，占19.55%；要约价格33.50元/股；提示性公告前30日加权均价38.24元/股；曾本生放弃剩余26,000,612股表决权。已抓取资料中的财务和经营线索为要约收购；控制权/表决权安排。收购方、买方和并购方的购买理由需要回到杭州拼便宜要约收购嘉亨家化，拟取得控制权；要约收购；出售方、转让方或预受要约股东的接受安排依据为公开资料未单独披露出售方主观原因；可引用的接受安排依据为：1）2025年12月31日，曾本生与杭州拼便宜签署《股份转让协议一》，以协议转让方式转让19,555,200股（占19.55%）；2）曾本生不可撤销承诺于要约收购时预受要约；3）要约价格与协议转让价格一致，为33.50元/股；4）曾本生放弃剩余26,000,612股表决权至要约收购完成。。</w:t>
      </w:r>
    </w:p>
    <w:p>
      <w:pPr>
        <w:spacing w:before="0" w:after="0" w:line="240" w:lineRule="auto" w:beforeLines="0" w:afterLines="0"/>
        <w:jc w:val="both"/>
        <w:ind w:firstLineChars="200"/>
      </w:pPr>
      <w:r>
        <w:rPr>
          <w:rFonts w:ascii="Times New Roman" w:hAnsi="Times New Roman" w:eastAsia="仿宋" w:cs="Times New Roman"/>
          <w:b w:val="0"/>
          <w:sz w:val="28"/>
        </w:rPr>
        <w:t>交易前，嘉亨家化总股本约100,000,000股，曾本生合计持有45,555,812股，处于绝对控股。公司主营日化产品OEM/ODM，增长平缓。杭州拼便宜为便利店供应链互联网平台，其收购动机公开资料未披露，但方案明确指向取得控制权。《股份转让协议一》并非单纯的股份买卖，而是控制权转移的触发装置：除协议转让19.55%股份外，转让方不可撤销地承诺在收购人发起部分要约时预受要约，且未经同意不得撤回；同时，自协议转让股份完成过户当日起，曾本生放弃剩余26,000,612股表决权，直至要约完成股份过户。</w:t>
      </w:r>
    </w:p>
    <w:p>
      <w:pPr>
        <w:spacing w:before="0" w:after="0" w:line="240" w:lineRule="auto" w:beforeLines="0" w:afterLines="0"/>
        <w:jc w:val="both"/>
        <w:ind w:firstLineChars="200"/>
      </w:pPr>
      <w:r>
        <w:rPr>
          <w:rFonts w:ascii="Times New Roman" w:hAnsi="Times New Roman" w:eastAsia="仿宋" w:cs="Times New Roman"/>
          <w:b w:val="0"/>
          <w:sz w:val="28"/>
        </w:rPr>
        <w:t>这一安排使杭州拼便宜在支付第一笔转让款后即获得对股东大会的有效支配。由于表决权放弃，上市公司有效表决权总股数降至约73,999,388股，收购人及其一致行动人温州苍霄企业管理合伙企业（有限合伙）、杭州润宜企业管理咨询合伙企业（有限合伙）所持19.55%股份对应的表决权比例升至约26.43%，足以在多数议案上施加决定性影响。原实际控制人的控制权在协议转让交割时点即实质让渡，而非待到要约完成。此举规避了直接增持至30%以上所触发的全面要约义务，同时借助原实控人深度配合，降低了控制权转移的不确定性。</w:t>
      </w:r>
    </w:p>
    <w:p>
      <w:pPr>
        <w:spacing w:before="0" w:after="0" w:line="240" w:lineRule="auto" w:beforeLines="0" w:afterLines="0"/>
        <w:jc w:val="left"/>
        <w:ind w:firstLineChars="200"/>
      </w:pPr>
      <w:r>
        <w:rPr>
          <w:rFonts w:ascii="Times New Roman" w:hAnsi="Times New Roman" w:eastAsia="仿宋" w:cs="Times New Roman"/>
          <w:b/>
          <w:sz w:val="28"/>
        </w:rPr>
        <w:t>二、三阶组合的咬合机制：协议转让锚定价格、表决权放弃让渡控制、部分要约巩固</w:t>
      </w:r>
    </w:p>
    <w:p>
      <w:pPr>
        <w:spacing w:before="0" w:after="0" w:line="240" w:lineRule="auto" w:beforeLines="0" w:afterLines="0"/>
        <w:jc w:val="both"/>
        <w:ind w:firstLineChars="200"/>
      </w:pPr>
      <w:r>
        <w:rPr>
          <w:rFonts w:ascii="Times New Roman" w:hAnsi="Times New Roman" w:eastAsia="仿宋" w:cs="Times New Roman"/>
          <w:b/>
          <w:sz w:val="28"/>
        </w:rPr>
        <w:t>第一步，协议转让19.55%股份使杭州拼便宜立即成为第一大股东，并以33.50元/股锚定交易成本基准。</w:t>
      </w:r>
      <w:r>
        <w:rPr>
          <w:rFonts w:ascii="Times New Roman" w:hAnsi="Times New Roman" w:eastAsia="仿宋" w:cs="Times New Roman"/>
          <w:b w:val="0"/>
          <w:sz w:val="28"/>
        </w:rPr>
        <w:t>锁定数量与价格，避免了二级市场收集可能引发的股价异动和竞争性要约风险。</w:t>
      </w:r>
    </w:p>
    <w:p>
      <w:pPr>
        <w:spacing w:before="0" w:after="0" w:line="240" w:lineRule="auto" w:beforeLines="0" w:afterLines="0"/>
        <w:jc w:val="both"/>
        <w:ind w:firstLineChars="200"/>
      </w:pPr>
      <w:r>
        <w:rPr>
          <w:rFonts w:ascii="Times New Roman" w:hAnsi="Times New Roman" w:eastAsia="仿宋" w:cs="Times New Roman"/>
          <w:b/>
          <w:sz w:val="28"/>
        </w:rPr>
        <w:t>第二步，表决权放弃是控制权转移的支点。</w:t>
      </w:r>
      <w:r>
        <w:rPr>
          <w:rFonts w:ascii="Times New Roman" w:hAnsi="Times New Roman" w:eastAsia="仿宋" w:cs="Times New Roman"/>
          <w:b w:val="0"/>
          <w:sz w:val="28"/>
        </w:rPr>
        <w:t>该放弃设定了明确的失效条件——要约收购完成股份过户，因而与后续部分要约形成联动：在要约增持完成前，控制权已由收购人行使；要约成行后，股份比例上升，控制更为牢固。这种安排的法律效力在于，表决权放弃是权利人的单方意思表示，只要不违反强制性规定即可发生。</w:t>
      </w:r>
    </w:p>
    <w:p>
      <w:pPr>
        <w:spacing w:before="0" w:after="0" w:line="240" w:lineRule="auto" w:beforeLines="0" w:afterLines="0"/>
        <w:jc w:val="both"/>
        <w:ind w:firstLineChars="200"/>
      </w:pPr>
      <w:r>
        <w:rPr>
          <w:rFonts w:ascii="Times New Roman" w:hAnsi="Times New Roman" w:eastAsia="仿宋" w:cs="Times New Roman"/>
          <w:b/>
          <w:sz w:val="28"/>
        </w:rPr>
        <w:t>第三步，部分要约充当巩固机制。</w:t>
      </w:r>
      <w:r>
        <w:rPr>
          <w:rFonts w:ascii="Times New Roman" w:hAnsi="Times New Roman" w:eastAsia="仿宋" w:cs="Times New Roman"/>
          <w:b w:val="0"/>
          <w:sz w:val="28"/>
        </w:rPr>
        <w:t>要约价格延续33.50元/股，其规模与比例由收购人酌情确定（公开资料未披露具体要约股份数及资金安排）。因原实控人已承诺预受，收购人可低成本获取足够股份，且无需支付控股权溢价。与全面要约相比，部分要约资金压力更小、程序更简化，并仅须满足法定价格下限即可向全体股东发出。</w:t>
      </w:r>
    </w:p>
    <w:p>
      <w:pPr>
        <w:spacing w:before="0" w:after="0" w:line="240" w:lineRule="auto" w:beforeLines="0" w:afterLines="0"/>
        <w:jc w:val="both"/>
        <w:ind w:firstLineChars="200"/>
      </w:pPr>
      <w:r>
        <w:rPr>
          <w:rFonts w:ascii="Times New Roman" w:hAnsi="Times New Roman" w:eastAsia="仿宋" w:cs="Times New Roman"/>
          <w:b w:val="0"/>
          <w:sz w:val="28"/>
        </w:rPr>
        <w:t>该结构的效率建立在原实控人全程配合之上，表明当卖方存在退出意愿时，收购方可通过组合条款设计，在不触发全面要约的前提下快速取得控制权，并锁定相对低位价格基准。</w:t>
      </w:r>
    </w:p>
    <w:p>
      <w:pPr>
        <w:spacing w:before="0" w:after="0" w:line="240" w:lineRule="auto" w:beforeLines="0" w:afterLines="0"/>
        <w:jc w:val="left"/>
        <w:ind w:firstLineChars="200"/>
      </w:pPr>
      <w:r>
        <w:rPr>
          <w:rFonts w:ascii="Times New Roman" w:hAnsi="Times New Roman" w:eastAsia="仿宋" w:cs="Times New Roman"/>
          <w:b/>
          <w:sz w:val="28"/>
        </w:rPr>
        <w:t>三、低于市价的要约价格合规性论证：财务顾问的监管回应路径</w:t>
      </w:r>
    </w:p>
    <w:p>
      <w:pPr>
        <w:spacing w:before="0" w:after="0" w:line="240" w:lineRule="auto" w:beforeLines="0" w:afterLines="0"/>
        <w:jc w:val="both"/>
        <w:ind w:firstLineChars="200"/>
      </w:pPr>
      <w:r>
        <w:rPr>
          <w:rFonts w:ascii="Times New Roman" w:hAnsi="Times New Roman" w:eastAsia="仿宋" w:cs="Times New Roman"/>
          <w:b w:val="0"/>
          <w:sz w:val="28"/>
        </w:rPr>
        <w:t>要约价格33.50元/股较提示性公告前30日加权均价38.24元/股折让约12.41%，触发《上市公司收购管理办法》第三十五条第二款的论证义务。财务顾问的合规回应围绕三点展开。</w:t>
      </w:r>
    </w:p>
    <w:p>
      <w:pPr>
        <w:spacing w:before="0" w:after="0" w:line="240" w:lineRule="auto" w:beforeLines="0" w:afterLines="0"/>
        <w:jc w:val="both"/>
        <w:ind w:firstLineChars="200"/>
      </w:pPr>
      <w:r>
        <w:rPr>
          <w:rFonts w:ascii="Times New Roman" w:hAnsi="Times New Roman" w:eastAsia="仿宋" w:cs="Times New Roman"/>
          <w:b/>
          <w:sz w:val="28"/>
        </w:rPr>
        <w:t>其一，股价操纵排除。</w:t>
      </w:r>
      <w:r>
        <w:rPr>
          <w:rFonts w:ascii="Times New Roman" w:hAnsi="Times New Roman" w:eastAsia="仿宋" w:cs="Times New Roman"/>
          <w:b w:val="0"/>
          <w:sz w:val="28"/>
        </w:rPr>
        <w:t>将嘉亨家化要约报告书摘要公告前6个月的股价走势与深证成指、创业板指数对比，显示变动幅度基本一致，未出现独立异常波动，以此论证股价上涨属市场整体因素，非人为操纵。其二，一致行动人及支付安排核查。收购人出具说明，除已披露一致行动人外，不存在其他未披露的一致行动人；前6个月内，除协议受让上述股份外，未通过其他方式买卖股票，不存在其他支付安排。其。</w:t>
      </w:r>
    </w:p>
    <w:p>
      <w:pPr>
        <w:spacing w:before="0" w:after="0" w:line="240" w:lineRule="auto" w:beforeLines="0" w:afterLines="0"/>
        <w:jc w:val="both"/>
        <w:ind w:firstLineChars="200"/>
      </w:pPr>
      <w:r>
        <w:rPr>
          <w:rFonts w:ascii="Times New Roman" w:hAnsi="Times New Roman" w:eastAsia="仿宋" w:cs="Times New Roman"/>
          <w:b w:val="0"/>
          <w:sz w:val="28"/>
        </w:rPr>
        <w:t>该论证框架的关键在于，通过提前签订的协议转让锁定了相对较低的价格基准，使其成为前6个月最高支付价，豁免了以市价为参照的要约加价义务。财务顾问的工作重心转为证明该价格形成过程无操纵、无隐性利益输送。这为同类交易提供了一条清晰的监管沟通路径：先通过与原实控人协议转让锚定一个可控价格，再以系统性核查回应公允性及操纵风险，实现以低于市价成本巩固控制权。</w:t>
      </w:r>
    </w:p>
    <w:p>
      <w:pPr>
        <w:spacing w:before="0" w:after="0" w:line="240" w:lineRule="auto" w:beforeLines="0" w:afterLines="0"/>
        <w:jc w:val="left"/>
        <w:ind w:firstLineChars="200"/>
      </w:pPr>
      <w:r>
        <w:rPr>
          <w:rFonts w:ascii="Times New Roman" w:hAnsi="Times New Roman" w:eastAsia="仿宋" w:cs="Times New Roman"/>
          <w:b/>
          <w:sz w:val="28"/>
        </w:rPr>
        <w:t>四、跨界整合的产业逻辑悬置与后续治理挑战</w:t>
      </w:r>
    </w:p>
    <w:p>
      <w:pPr>
        <w:spacing w:before="0" w:after="0" w:line="240" w:lineRule="auto" w:beforeLines="0" w:afterLines="0"/>
        <w:jc w:val="both"/>
        <w:ind w:firstLineChars="200"/>
      </w:pPr>
      <w:r>
        <w:rPr>
          <w:rFonts w:ascii="Times New Roman" w:hAnsi="Times New Roman" w:eastAsia="仿宋" w:cs="Times New Roman"/>
          <w:b w:val="0"/>
          <w:sz w:val="28"/>
        </w:rPr>
        <w:t>杭州拼便宜的主业为便利店供应链互联网平台，嘉亨家化深耕日化OEM/ODM，二者在产业链上无直接上下游关系，公开资料未披露任何业务协同计划、资产注入安排或整合方向。从行业逻辑判断，互联网平台入主制造业可能的整合方向包括：利用数据能力优化代工订单匹配、将制造端纳入供应链闭环、借助上市公司融资平台等。但日化代工行业毛利率偏低、客户集中度高，增长高度依赖大客户，短期内实现协同的难度较大。产业方案的可验证性缺失，使本次并购的价值基石较为薄弱。</w:t>
      </w:r>
    </w:p>
    <w:p>
      <w:pPr>
        <w:spacing w:before="0" w:after="0" w:line="240" w:lineRule="auto" w:beforeLines="0" w:afterLines="0"/>
        <w:jc w:val="both"/>
        <w:ind w:firstLineChars="200"/>
      </w:pPr>
      <w:r>
        <w:rPr>
          <w:rFonts w:ascii="Times New Roman" w:hAnsi="Times New Roman" w:eastAsia="仿宋" w:cs="Times New Roman"/>
          <w:b w:val="0"/>
          <w:sz w:val="28"/>
        </w:rPr>
        <w:t>交易完成后，原实控人曾本生仍保留26,000,612股的经济利益，其虽放弃表决权，但作为持股26.01%的第二大股东，在要约完成前的过渡期内仍可能对管理层稳定性及战略方向产生潜在牵制。若收购人无法迅速完成董事会改组与管理层激励重构，或新旧股东在公司经营上出现分歧，可能导致治理摩擦与经营波动。此外，收购人未披露是否具备日化行业管理经验或已储备相应人才团队，这一。</w:t>
      </w:r>
    </w:p>
    <w:p>
      <w:pPr>
        <w:spacing w:before="0" w:after="0" w:line="240" w:lineRule="auto" w:beforeLines="0" w:afterLines="0"/>
        <w:jc w:val="left"/>
        <w:ind w:firstLineChars="200"/>
      </w:pPr>
      <w:r>
        <w:rPr>
          <w:rFonts w:ascii="Times New Roman" w:hAnsi="Times New Roman" w:eastAsia="仿宋" w:cs="Times New Roman"/>
          <w:b/>
          <w:sz w:val="28"/>
        </w:rPr>
        <w:t>五、结语：要约与控制权安排的核验方法</w:t>
      </w:r>
    </w:p>
    <w:p>
      <w:pPr>
        <w:spacing w:before="0" w:after="0" w:line="240" w:lineRule="auto" w:beforeLines="0" w:afterLines="0"/>
        <w:jc w:val="both"/>
        <w:ind w:firstLineChars="200"/>
      </w:pPr>
      <w:r>
        <w:rPr>
          <w:rFonts w:ascii="Times New Roman" w:hAnsi="Times New Roman" w:eastAsia="仿宋" w:cs="Times New Roman"/>
          <w:b w:val="0"/>
          <w:sz w:val="28"/>
        </w:rPr>
        <w:t>杭州拼便宜收购嘉亨家化一案，以约6.55亿元协议对价起步，通过三阶组合在要约价格明显折让的条件下推进控制权巩固，其方案在A股控股权交易中具有标本意义。该结构证明，当原实控人存在退出意愿并深度配合时，表决权放弃可成为控制权快速转移的核心杠杆，折价要约的合规性可通过锚定前六个月最高支付价、系统排除股价操纵与一致行动人疑虑来达成。这对非产业资本收购上市公司提供了一个可参照的方法：提前以协议转让锁定价格及表决权放弃安排，再以部分要约完成程序性巩固，从而降低资金成本与监管阻力。</w:t>
      </w:r>
    </w:p>
    <w:p>
      <w:pPr>
        <w:spacing w:before="0" w:after="0" w:line="240" w:lineRule="auto" w:beforeLines="0" w:afterLines="0"/>
        <w:jc w:val="both"/>
        <w:ind w:firstLineChars="200"/>
      </w:pPr>
      <w:r>
        <w:rPr>
          <w:rFonts w:ascii="Times New Roman" w:hAnsi="Times New Roman" w:eastAsia="仿宋" w:cs="Times New Roman"/>
          <w:b w:val="0"/>
          <w:sz w:val="28"/>
        </w:rPr>
        <w:t>然而，本案例同时暴露了跨界并购的固有风险：在产业协同逻辑缺失、整合计划不明的情况下，结构创新难以确保后续价值交付。并购方法论上的重要启示在于，启动复杂的控制权安排之前，收购方必须完成对标的产业位置的深度验证，形成可执行的重组方案，并明确管理层构成及过渡期安排，否则极易陷入</w:t>
      </w:r>
      <w:r>
        <w:rPr>
          <w:rFonts w:ascii="Times New Roman" w:hAnsi="Times New Roman" w:eastAsia="Times New Roman" w:cs="Times New Roman"/>
          <w:b w:val="0"/>
          <w:sz w:val="28"/>
        </w:rPr>
        <w:t>“</w:t>
      </w:r>
      <w:r>
        <w:rPr>
          <w:rFonts w:ascii="Times New Roman" w:hAnsi="Times New Roman" w:eastAsia="仿宋" w:cs="Times New Roman"/>
          <w:b w:val="0"/>
          <w:sz w:val="28"/>
        </w:rPr>
        <w:t>买得起、管不好</w:t>
      </w:r>
      <w:r>
        <w:rPr>
          <w:rFonts w:ascii="Times New Roman" w:hAnsi="Times New Roman" w:eastAsia="Times New Roman" w:cs="Times New Roman"/>
          <w:b w:val="0"/>
          <w:sz w:val="28"/>
        </w:rPr>
        <w:t>”</w:t>
      </w:r>
      <w:r>
        <w:rPr>
          <w:rFonts w:ascii="Times New Roman" w:hAnsi="Times New Roman" w:eastAsia="仿宋" w:cs="Times New Roman"/>
          <w:b w:val="0"/>
          <w:sz w:val="28"/>
        </w:rPr>
        <w:t>的困境。</w:t>
      </w:r>
    </w:p>
    <w:p>
      <w:pPr>
        <w:spacing w:before="0" w:after="0" w:line="240" w:lineRule="auto" w:beforeLines="0" w:afterLines="0"/>
        <w:jc w:val="both"/>
        <w:ind w:firstLineChars="200"/>
      </w:pPr>
      <w:r>
        <w:rPr>
          <w:rFonts w:ascii="Times New Roman" w:hAnsi="Times New Roman" w:eastAsia="仿宋" w:cs="Times New Roman"/>
          <w:b w:val="0"/>
          <w:sz w:val="28"/>
        </w:rPr>
        <w:t>回到杭州拼便宜与嘉亨家化，本案的方法论意义在于将协议转让股比、要约价格、表决权放弃、控制权转移时点和交割条件置于同一披露链条中核验。同类交易应首先确认信息披露是否足以支撑估值锚、条款安排和治理边界；其次必须将产业链位置、客户结构、产能和商业模式纳入标的承接判断；最后才评估收入、净利润、现金流等财务影响。对收购方而言，关键是交割承接和整合节奏能否与已披露安排匹配；对上市公司而言，关键是控制权接受机制能否在公开资料边界内被持续验证。</w:t>
      </w:r>
    </w:p>
    <w:p>
      <w:pPr>
        <w:spacing w:before="0" w:after="0" w:line="240" w:lineRule="auto" w:beforeLines="0" w:afterLines="0"/>
        <w:jc w:val="both"/>
        <w:ind w:firstLineChars="200"/>
      </w:pPr>
      <w:r>
        <w:rPr>
          <w:rFonts w:ascii="Times New Roman" w:hAnsi="Times New Roman" w:eastAsia="仿宋" w:cs="Times New Roman"/>
          <w:b w:val="0"/>
          <w:sz w:val="28"/>
        </w:rPr>
        <w:t>回到杭州拼便宜网络科技与嘉亨家化，本案的方法论意义不在于把交易结果写成通用并购总结，而在于把要约收购；控制权/表决权安排、协议转让19,555,200股，占19.55%；要约价格33.50元/股；提示性公告前30日加权均价38.24元/股；曾本生放弃剩余26,000,612股表决权、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杭州拼便宜网络科技而言，关键是交割承接和整合节奏能否与已披露安排匹配；对嘉亨家化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