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12.5亿全资收购思妍丽：美丽田园的双品牌整合挑战</w:t>
      </w:r>
    </w:p>
    <w:p>
      <w:pPr>
        <w:spacing w:before="0" w:after="0" w:line="240" w:lineRule="auto" w:beforeLines="0" w:afterLines="0"/>
        <w:jc w:val="both"/>
        <w:ind w:firstLineChars="200"/>
      </w:pPr>
      <w:r>
        <w:rPr>
          <w:rFonts w:ascii="Times New Roman" w:hAnsi="Times New Roman" w:eastAsia="仿宋" w:cs="Times New Roman"/>
          <w:b w:val="0"/>
          <w:sz w:val="28"/>
        </w:rPr>
        <w:t>对于已上市的行业龙头，持续并购整合同类资产是扩大规模的常见路径，但如何在交易后实现品牌、客户与团队的无缝承接，避免</w:t>
      </w:r>
      <w:r>
        <w:rPr>
          <w:rFonts w:ascii="Times New Roman" w:hAnsi="Times New Roman" w:eastAsia="Times New Roman" w:cs="Times New Roman"/>
          <w:b w:val="0"/>
          <w:sz w:val="28"/>
        </w:rPr>
        <w:t>“</w:t>
      </w:r>
      <w:r>
        <w:rPr>
          <w:rFonts w:ascii="Times New Roman" w:hAnsi="Times New Roman" w:eastAsia="仿宋" w:cs="Times New Roman"/>
          <w:b w:val="0"/>
          <w:sz w:val="28"/>
        </w:rPr>
        <w:t>规模越大、管理越散</w:t>
      </w:r>
      <w:r>
        <w:rPr>
          <w:rFonts w:ascii="Times New Roman" w:hAnsi="Times New Roman" w:eastAsia="Times New Roman" w:cs="Times New Roman"/>
          <w:b w:val="0"/>
          <w:sz w:val="28"/>
        </w:rPr>
        <w:t>”</w:t>
      </w:r>
      <w:r>
        <w:rPr>
          <w:rFonts w:ascii="Times New Roman" w:hAnsi="Times New Roman" w:eastAsia="仿宋" w:cs="Times New Roman"/>
          <w:b w:val="0"/>
          <w:sz w:val="28"/>
        </w:rPr>
        <w:t>，才是决定并购能否创造长期价值的关键。本案例中，美丽田园（下称</w:t>
      </w:r>
      <w:r>
        <w:rPr>
          <w:rFonts w:ascii="Times New Roman" w:hAnsi="Times New Roman" w:eastAsia="Times New Roman" w:cs="Times New Roman"/>
          <w:b w:val="0"/>
          <w:sz w:val="28"/>
        </w:rPr>
        <w:t>“</w:t>
      </w:r>
      <w:r>
        <w:rPr>
          <w:rFonts w:ascii="Times New Roman" w:hAnsi="Times New Roman" w:eastAsia="仿宋" w:cs="Times New Roman"/>
          <w:b w:val="0"/>
          <w:sz w:val="28"/>
        </w:rPr>
        <w:t>美丽田园</w:t>
      </w:r>
      <w:r>
        <w:rPr>
          <w:rFonts w:ascii="Times New Roman" w:hAnsi="Times New Roman" w:eastAsia="Times New Roman" w:cs="Times New Roman"/>
          <w:b w:val="0"/>
          <w:sz w:val="28"/>
        </w:rPr>
        <w:t>”</w:t>
      </w:r>
      <w:r>
        <w:rPr>
          <w:rFonts w:ascii="Times New Roman" w:hAnsi="Times New Roman" w:eastAsia="仿宋" w:cs="Times New Roman"/>
          <w:b w:val="0"/>
          <w:sz w:val="28"/>
        </w:rPr>
        <w:t>）医疗健康（下称</w:t>
      </w:r>
      <w:r>
        <w:rPr>
          <w:rFonts w:ascii="Times New Roman" w:hAnsi="Times New Roman" w:eastAsia="Times New Roman" w:cs="Times New Roman"/>
          <w:b w:val="0"/>
          <w:sz w:val="28"/>
        </w:rPr>
        <w:t>“</w:t>
      </w:r>
      <w:r>
        <w:rPr>
          <w:rFonts w:ascii="Times New Roman" w:hAnsi="Times New Roman" w:eastAsia="仿宋" w:cs="Times New Roman"/>
          <w:b w:val="0"/>
          <w:sz w:val="28"/>
        </w:rPr>
        <w:t>美丽田园</w:t>
      </w:r>
      <w:r>
        <w:rPr>
          <w:rFonts w:ascii="Times New Roman" w:hAnsi="Times New Roman" w:eastAsia="Times New Roman" w:cs="Times New Roman"/>
          <w:b w:val="0"/>
          <w:sz w:val="28"/>
        </w:rPr>
        <w:t>”</w:t>
      </w:r>
      <w:r>
        <w:rPr>
          <w:rFonts w:ascii="Times New Roman" w:hAnsi="Times New Roman" w:eastAsia="仿宋" w:cs="Times New Roman"/>
          <w:b w:val="0"/>
          <w:sz w:val="28"/>
        </w:rPr>
        <w:t>）于2025年以12.5亿元全资收购思妍丽（下称</w:t>
      </w:r>
      <w:r>
        <w:rPr>
          <w:rFonts w:ascii="Times New Roman" w:hAnsi="Times New Roman" w:eastAsia="Times New Roman" w:cs="Times New Roman"/>
          <w:b w:val="0"/>
          <w:sz w:val="28"/>
        </w:rPr>
        <w:t>“</w:t>
      </w:r>
      <w:r>
        <w:rPr>
          <w:rFonts w:ascii="Times New Roman" w:hAnsi="Times New Roman" w:eastAsia="仿宋" w:cs="Times New Roman"/>
          <w:b w:val="0"/>
          <w:sz w:val="28"/>
        </w:rPr>
        <w:t>思妍丽</w:t>
      </w:r>
      <w:r>
        <w:rPr>
          <w:rFonts w:ascii="Times New Roman" w:hAnsi="Times New Roman" w:eastAsia="Times New Roman" w:cs="Times New Roman"/>
          <w:b w:val="0"/>
          <w:sz w:val="28"/>
        </w:rPr>
        <w:t>”</w:t>
      </w:r>
      <w:r>
        <w:rPr>
          <w:rFonts w:ascii="Times New Roman" w:hAnsi="Times New Roman" w:eastAsia="仿宋" w:cs="Times New Roman"/>
          <w:b w:val="0"/>
          <w:sz w:val="28"/>
        </w:rPr>
        <w:t>），后者据媒体报道为行业排名第三的高端美容连锁品牌，交易金额创下中国美业当年最大收购记录。然而，全资收购带来的是商誉激增与整合风险，双品牌能否真正协同，仍待验证。本案例基于公开媒体报道，从产业整合逻辑、交易结构、财务影响、交割承接及方法论等层面，拆解这笔交易的可借鉴之处与潜在挑战。</w:t>
      </w:r>
    </w:p>
    <w:p>
      <w:pPr>
        <w:spacing w:before="0" w:after="0" w:line="240" w:lineRule="auto" w:beforeLines="0" w:afterLines="0"/>
        <w:jc w:val="left"/>
        <w:ind w:firstLineChars="200"/>
      </w:pPr>
      <w:r>
        <w:rPr>
          <w:rFonts w:ascii="Times New Roman" w:hAnsi="Times New Roman" w:eastAsia="仿宋" w:cs="Times New Roman"/>
          <w:b/>
          <w:sz w:val="28"/>
        </w:rPr>
        <w:t>一、行业整合者入场：美丽田园的并购图谱与思妍丽的位置</w:t>
      </w:r>
    </w:p>
    <w:p>
      <w:pPr>
        <w:spacing w:before="0" w:after="0" w:line="240" w:lineRule="auto" w:beforeLines="0" w:afterLines="0"/>
        <w:jc w:val="both"/>
        <w:ind w:firstLineChars="200"/>
      </w:pPr>
      <w:r>
        <w:rPr>
          <w:rFonts w:ascii="Times New Roman" w:hAnsi="Times New Roman" w:eastAsia="仿宋" w:cs="Times New Roman"/>
          <w:b w:val="0"/>
          <w:sz w:val="28"/>
        </w:rPr>
        <w:t>据媒体报道，美丽田园自上市后持续通过横向收购扩大市场份额，此前已收购行业排名第二的品牌，本次再吞下思妍丽，其目标直指巩固高端美容市场领导地位。从产业背景看，据媒体报道，中国美容行业长期分散，高端市场依赖品牌口碑和单店模型，并购是提升集中度、降低获客成本的有效手段。据国际金融报报道，美丽田园曾提出冲刺40亿元营收的目标，本次收购有助于其向这一目标迈进。</w:t>
      </w:r>
    </w:p>
    <w:p>
      <w:pPr>
        <w:spacing w:before="0" w:after="0" w:line="240" w:lineRule="auto" w:beforeLines="0" w:afterLines="0"/>
        <w:jc w:val="both"/>
        <w:ind w:firstLineChars="200"/>
      </w:pPr>
      <w:r>
        <w:rPr>
          <w:rFonts w:ascii="Times New Roman" w:hAnsi="Times New Roman" w:eastAsia="仿宋" w:cs="Times New Roman"/>
          <w:b w:val="0"/>
          <w:sz w:val="28"/>
        </w:rPr>
        <w:t>思妍丽的吸引力在于成熟的门店网络和高净值客户群体。据观察者网报道，思妍丽在北京、上海等一线城市拥有多家直营门店，客单价高，且与美丽田园在区域布局上存在互补。据腾讯新闻披露，思妍丽创始人张毅名下还持有物业资产，例如关联企业是嫣然天使儿童医院的房东，这意味着思妍丽可能拥有自持物业，能为美丽田园带来稳定的租金收入来源，但同时也增加了整合的复杂性。思妍丽在行业内的排名据媒体报道为第三，其品牌在高端美容领域具有较强认知度。</w:t>
      </w:r>
    </w:p>
    <w:p>
      <w:pPr>
        <w:spacing w:before="0" w:after="0" w:line="240" w:lineRule="auto" w:beforeLines="0" w:afterLines="0"/>
        <w:jc w:val="both"/>
        <w:ind w:firstLineChars="200"/>
      </w:pPr>
      <w:r>
        <w:rPr>
          <w:rFonts w:ascii="Times New Roman" w:hAnsi="Times New Roman" w:eastAsia="仿宋" w:cs="Times New Roman"/>
          <w:b w:val="0"/>
          <w:sz w:val="28"/>
        </w:rPr>
        <w:t>值得注意的是，据时代在线报道，美丽田园董事长李阳拥有22年创业经历，此前</w:t>
      </w:r>
      <w:r>
        <w:rPr>
          <w:rFonts w:ascii="Times New Roman" w:hAnsi="Times New Roman" w:eastAsia="Times New Roman" w:cs="Times New Roman"/>
          <w:b w:val="0"/>
          <w:sz w:val="28"/>
        </w:rPr>
        <w:t>“</w:t>
      </w:r>
      <w:r>
        <w:rPr>
          <w:rFonts w:ascii="Times New Roman" w:hAnsi="Times New Roman" w:eastAsia="仿宋" w:cs="Times New Roman"/>
          <w:b w:val="0"/>
          <w:sz w:val="28"/>
        </w:rPr>
        <w:t>继承妻业</w:t>
      </w:r>
      <w:r>
        <w:rPr>
          <w:rFonts w:ascii="Times New Roman" w:hAnsi="Times New Roman" w:eastAsia="Times New Roman" w:cs="Times New Roman"/>
          <w:b w:val="0"/>
          <w:sz w:val="28"/>
        </w:rPr>
        <w:t>”</w:t>
      </w:r>
      <w:r>
        <w:rPr>
          <w:rFonts w:ascii="Times New Roman" w:hAnsi="Times New Roman" w:eastAsia="仿宋" w:cs="Times New Roman"/>
          <w:b w:val="0"/>
          <w:sz w:val="28"/>
        </w:rPr>
        <w:t>并逐步扩张，本次收购延续了其通过整合行业前几名品牌来巩固地位的路线。据市场分析，美丽田园的目标是构建多品牌矩阵，覆盖不同年龄段与服务层次的客群，从而在高端美容市场形成护城河。然而，双品牌均定位高端，客户群高度重叠，如何实现差异化协同而非简单叠加，是整合的核心命题。</w:t>
      </w:r>
    </w:p>
    <w:p>
      <w:pPr>
        <w:spacing w:before="0" w:after="0" w:line="240" w:lineRule="auto" w:beforeLines="0" w:afterLines="0"/>
        <w:jc w:val="left"/>
        <w:ind w:firstLineChars="200"/>
      </w:pPr>
      <w:r>
        <w:rPr>
          <w:rFonts w:ascii="Times New Roman" w:hAnsi="Times New Roman" w:eastAsia="仿宋" w:cs="Times New Roman"/>
          <w:b/>
          <w:sz w:val="28"/>
        </w:rPr>
        <w:t>二、交易解剖：12.5亿元全资收购的定价与支付安排</w:t>
      </w:r>
    </w:p>
    <w:p>
      <w:pPr>
        <w:spacing w:before="0" w:after="0" w:line="240" w:lineRule="auto" w:beforeLines="0" w:afterLines="0"/>
        <w:jc w:val="both"/>
        <w:ind w:firstLineChars="200"/>
      </w:pPr>
      <w:r>
        <w:rPr>
          <w:rFonts w:ascii="Times New Roman" w:hAnsi="Times New Roman" w:eastAsia="仿宋" w:cs="Times New Roman"/>
          <w:b w:val="0"/>
          <w:sz w:val="28"/>
        </w:rPr>
        <w:t>据证券时报报道，本次交易为美丽田园以12.5亿元全资收购思妍丽100%股权，完成年份为2025年。支付方式未在公开渠道披露，据行业惯例，上市公司并购通常采用现金或现金加股份方式，美丽田园作为港股上市公司具有股权融资和银行借贷的灵活性。据国际金融报分析，12.5亿元的估值水平若参考思妍丽的年利润，其交易倍数可能处于行业合理区间，但具体财务数据未在媒体报道中披露。据华丽志报道，这笔交易为中国美业当年最大收购案。</w:t>
      </w:r>
    </w:p>
    <w:p>
      <w:pPr>
        <w:spacing w:before="0" w:after="0" w:line="240" w:lineRule="auto" w:beforeLines="0" w:afterLines="0"/>
        <w:jc w:val="both"/>
        <w:ind w:firstLineChars="200"/>
      </w:pPr>
      <w:r>
        <w:rPr>
          <w:rFonts w:ascii="Times New Roman" w:hAnsi="Times New Roman" w:eastAsia="仿宋" w:cs="Times New Roman"/>
          <w:b w:val="0"/>
          <w:sz w:val="28"/>
        </w:rPr>
        <w:t>交易对价的合理性需结合美容行业高毛利、高客户粘性的特点。据华丽志报道，思妍丽作为高端品牌单店营收和利润效率较高，但同样面临租金和人力成本压力。美丽田园以12.5亿元取得其100%股权，相当于买断了品牌价值、客户资源及管理团队。需要指出的是，媒体报道中未提及业绩承诺或对赌条款。据市场惯例，全资收购中若缺乏对赌，则买方需独立承担标的未来业绩波动的风险。这可能反映出美丽田园对思妍丽未来增长的信心，也可能意味着卖方实现了完全退出。据国际金融报报道，思妍丽创始人张毅在交易后是否留任，材料未明确，这也增加了整合的不确定性。</w:t>
      </w:r>
    </w:p>
    <w:p>
      <w:pPr>
        <w:spacing w:before="0" w:after="0" w:line="240" w:lineRule="auto" w:beforeLines="0" w:afterLines="0"/>
        <w:jc w:val="left"/>
        <w:ind w:firstLineChars="200"/>
      </w:pPr>
      <w:r>
        <w:rPr>
          <w:rFonts w:ascii="Times New Roman" w:hAnsi="Times New Roman" w:eastAsia="仿宋" w:cs="Times New Roman"/>
          <w:b/>
          <w:sz w:val="28"/>
        </w:rPr>
        <w:t>三、双品牌协同：高端美容的差异化与共享之道</w:t>
      </w:r>
    </w:p>
    <w:p>
      <w:pPr>
        <w:spacing w:before="0" w:after="0" w:line="240" w:lineRule="auto" w:beforeLines="0" w:afterLines="0"/>
        <w:jc w:val="both"/>
        <w:ind w:firstLineChars="200"/>
      </w:pPr>
      <w:r>
        <w:rPr>
          <w:rFonts w:ascii="Times New Roman" w:hAnsi="Times New Roman" w:eastAsia="仿宋" w:cs="Times New Roman"/>
          <w:b w:val="0"/>
          <w:sz w:val="28"/>
        </w:rPr>
        <w:t>美丽田园与思妍丽均定位高端美容服务，目标客群高度重叠。据媒体报道，美丽田园旗下还有</w:t>
      </w:r>
      <w:r>
        <w:rPr>
          <w:rFonts w:ascii="Times New Roman" w:hAnsi="Times New Roman" w:eastAsia="Times New Roman" w:cs="Times New Roman"/>
          <w:b w:val="0"/>
          <w:sz w:val="28"/>
        </w:rPr>
        <w:t>“</w:t>
      </w:r>
      <w:r>
        <w:rPr>
          <w:rFonts w:ascii="Times New Roman" w:hAnsi="Times New Roman" w:eastAsia="仿宋" w:cs="Times New Roman"/>
          <w:b w:val="0"/>
          <w:sz w:val="28"/>
        </w:rPr>
        <w:t>贝黎诗</w:t>
      </w:r>
      <w:r>
        <w:rPr>
          <w:rFonts w:ascii="Times New Roman" w:hAnsi="Times New Roman" w:eastAsia="Times New Roman" w:cs="Times New Roman"/>
          <w:b w:val="0"/>
          <w:sz w:val="28"/>
        </w:rPr>
        <w:t>”</w:t>
      </w:r>
      <w:r>
        <w:rPr>
          <w:rFonts w:ascii="Times New Roman" w:hAnsi="Times New Roman" w:eastAsia="仿宋" w:cs="Times New Roman"/>
          <w:b w:val="0"/>
          <w:sz w:val="28"/>
        </w:rPr>
        <w:t>等品牌，本次收购后品牌数量进一步增加。多品牌战略的难点在于如何避免内部竞争，如何实现会员积分体系、产品采购和员工培训的共享，同时保持各品牌的独立调性。据新浪财经分析，美丽田园可能采取</w:t>
      </w:r>
      <w:r>
        <w:rPr>
          <w:rFonts w:ascii="Times New Roman" w:hAnsi="Times New Roman" w:eastAsia="Times New Roman" w:cs="Times New Roman"/>
          <w:b w:val="0"/>
          <w:sz w:val="28"/>
        </w:rPr>
        <w:t>“</w:t>
      </w:r>
      <w:r>
        <w:rPr>
          <w:rFonts w:ascii="Times New Roman" w:hAnsi="Times New Roman" w:eastAsia="仿宋" w:cs="Times New Roman"/>
          <w:b w:val="0"/>
          <w:sz w:val="28"/>
        </w:rPr>
        <w:t>双品牌独立运营</w:t>
      </w:r>
      <w:r>
        <w:rPr>
          <w:rFonts w:ascii="Times New Roman" w:hAnsi="Times New Roman" w:eastAsia="Times New Roman" w:cs="Times New Roman"/>
          <w:b w:val="0"/>
          <w:sz w:val="28"/>
        </w:rPr>
        <w:t>”</w:t>
      </w:r>
      <w:r>
        <w:rPr>
          <w:rFonts w:ascii="Times New Roman" w:hAnsi="Times New Roman" w:eastAsia="仿宋" w:cs="Times New Roman"/>
          <w:b w:val="0"/>
          <w:sz w:val="28"/>
        </w:rPr>
        <w:t>模式，即保留思妍丽原有品牌、团队和门店风格，仅在后台进行供应链和数字化系统统一。同时，通过会员权益互通，将思妍丽的客户导流至美丽田园的医美或轻医美服务线，反之亦然，从而实现客单价提升。但若协同未达预期，则可能陷入</w:t>
      </w:r>
      <w:r>
        <w:rPr>
          <w:rFonts w:ascii="Times New Roman" w:hAnsi="Times New Roman" w:eastAsia="Times New Roman" w:cs="Times New Roman"/>
          <w:b w:val="0"/>
          <w:sz w:val="28"/>
        </w:rPr>
        <w:t>“</w:t>
      </w:r>
      <w:r>
        <w:rPr>
          <w:rFonts w:ascii="Times New Roman" w:hAnsi="Times New Roman" w:eastAsia="仿宋" w:cs="Times New Roman"/>
          <w:b w:val="0"/>
          <w:sz w:val="28"/>
        </w:rPr>
        <w:t>为整合而整合</w:t>
      </w:r>
      <w:r>
        <w:rPr>
          <w:rFonts w:ascii="Times New Roman" w:hAnsi="Times New Roman" w:eastAsia="Times New Roman" w:cs="Times New Roman"/>
          <w:b w:val="0"/>
          <w:sz w:val="28"/>
        </w:rPr>
        <w:t>”</w:t>
      </w:r>
      <w:r>
        <w:rPr>
          <w:rFonts w:ascii="Times New Roman" w:hAnsi="Times New Roman" w:eastAsia="仿宋" w:cs="Times New Roman"/>
          <w:b w:val="0"/>
          <w:sz w:val="28"/>
        </w:rPr>
        <w:t>的陷阱。</w:t>
      </w:r>
    </w:p>
    <w:p>
      <w:pPr>
        <w:spacing w:before="0" w:after="0" w:line="240" w:lineRule="auto" w:beforeLines="0" w:afterLines="0"/>
        <w:jc w:val="both"/>
        <w:ind w:firstLineChars="200"/>
      </w:pPr>
      <w:r>
        <w:rPr>
          <w:rFonts w:ascii="Times New Roman" w:hAnsi="Times New Roman" w:eastAsia="仿宋" w:cs="Times New Roman"/>
          <w:b w:val="0"/>
          <w:sz w:val="28"/>
        </w:rPr>
        <w:t>从门店来看，据腾讯新闻报道，思妍丽在北京等地拥有物业资产，这些资产若为自持，则对美丽田园而言是稳定的租金收入来源，但同时也增加了整合的复杂性。考虑到思妍丽的创始人与嫣然天使儿童医院存在关联，美丽田园在整合过程中可能需要处理与医院物业相关的租赁或合作关系，这要求公司具备相应的商业地产管理能力。此外，两品牌的门店选址策略（如一线城市核心商圈vs高端社区）是否需要统一，也是实操中的难点。</w:t>
      </w:r>
    </w:p>
    <w:p>
      <w:pPr>
        <w:spacing w:before="0" w:after="0" w:line="240" w:lineRule="auto" w:beforeLines="0" w:afterLines="0"/>
        <w:jc w:val="both"/>
        <w:ind w:firstLineChars="200"/>
      </w:pPr>
      <w:r>
        <w:rPr>
          <w:rFonts w:ascii="Times New Roman" w:hAnsi="Times New Roman" w:eastAsia="仿宋" w:cs="Times New Roman"/>
          <w:b w:val="0"/>
          <w:sz w:val="28"/>
        </w:rPr>
        <w:t>据时代在线报道，美丽田园董事长李阳曾表示</w:t>
      </w:r>
      <w:r>
        <w:rPr>
          <w:rFonts w:ascii="Times New Roman" w:hAnsi="Times New Roman" w:eastAsia="Times New Roman" w:cs="Times New Roman"/>
          <w:b w:val="0"/>
          <w:sz w:val="28"/>
        </w:rPr>
        <w:t>“</w:t>
      </w:r>
      <w:r>
        <w:rPr>
          <w:rFonts w:ascii="Times New Roman" w:hAnsi="Times New Roman" w:eastAsia="仿宋" w:cs="Times New Roman"/>
          <w:b w:val="0"/>
          <w:sz w:val="28"/>
        </w:rPr>
        <w:t>整合的核心是人</w:t>
      </w:r>
      <w:r>
        <w:rPr>
          <w:rFonts w:ascii="Times New Roman" w:hAnsi="Times New Roman" w:eastAsia="Times New Roman" w:cs="Times New Roman"/>
          <w:b w:val="0"/>
          <w:sz w:val="28"/>
        </w:rPr>
        <w:t>”</w:t>
      </w:r>
      <w:r>
        <w:rPr>
          <w:rFonts w:ascii="Times New Roman" w:hAnsi="Times New Roman" w:eastAsia="仿宋" w:cs="Times New Roman"/>
          <w:b w:val="0"/>
          <w:sz w:val="28"/>
        </w:rPr>
        <w:t>，暗示其重视团队融合。但截至本案例撰写，公开层面尚无思妍丽原高管去留的明确信息。据行业经验，核心人才的流失可能削弱收购价值，因此交割后的人才激励与文化融合是首要任务。据市场分析，思妍丽的管理团队若在交易后离职，美丽田园需要快速补充运营人才，同时维持原有服务标准和客户关系。</w:t>
      </w:r>
    </w:p>
    <w:p>
      <w:pPr>
        <w:spacing w:before="0" w:after="0" w:line="240" w:lineRule="auto" w:beforeLines="0" w:afterLines="0"/>
        <w:jc w:val="left"/>
        <w:ind w:firstLineChars="200"/>
      </w:pPr>
      <w:r>
        <w:rPr>
          <w:rFonts w:ascii="Times New Roman" w:hAnsi="Times New Roman" w:eastAsia="仿宋" w:cs="Times New Roman"/>
          <w:b/>
          <w:sz w:val="28"/>
        </w:rPr>
        <w:t>四、财务影响：业绩增厚与商誉风险的双刃剑</w:t>
      </w:r>
    </w:p>
    <w:p>
      <w:pPr>
        <w:spacing w:before="0" w:after="0" w:line="240" w:lineRule="auto" w:beforeLines="0" w:afterLines="0"/>
        <w:jc w:val="both"/>
        <w:ind w:firstLineChars="200"/>
      </w:pPr>
      <w:r>
        <w:rPr>
          <w:rFonts w:ascii="Times New Roman" w:hAnsi="Times New Roman" w:eastAsia="仿宋" w:cs="Times New Roman"/>
          <w:b w:val="0"/>
          <w:sz w:val="28"/>
        </w:rPr>
        <w:t>据华丽志报道，本次收购有助于增厚美丽田园的业绩。但从财务角度，全资收购必然产生大额商誉。若以12.5亿元对价且全部确认为商誉（假设标的账面净资产较小），则美丽田园的资产负债表上商誉占比将显著上升。一旦思妍丽未来盈利能力不及预期，商誉减值将直接冲击利润表。据观察者网报道，美丽田园在公告中表示收购将提升每股收益，但未提供具体测算。从行业经验看，美容连锁的业绩波动受单店客流、员工流动率及经济周期影响较大，历史上同类并购的商誉减值案例并不少见。</w:t>
      </w:r>
    </w:p>
    <w:p>
      <w:pPr>
        <w:spacing w:before="0" w:after="0" w:line="240" w:lineRule="auto" w:beforeLines="0" w:afterLines="0"/>
        <w:jc w:val="both"/>
        <w:ind w:firstLineChars="200"/>
      </w:pPr>
      <w:r>
        <w:rPr>
          <w:rFonts w:ascii="Times New Roman" w:hAnsi="Times New Roman" w:eastAsia="仿宋" w:cs="Times New Roman"/>
          <w:b w:val="0"/>
          <w:sz w:val="28"/>
        </w:rPr>
        <w:t>现金流方面，12.5亿元无论以现金支付还是部分融资，均会消耗上市公司流动性。据国际金融报报道，美丽田园此前曾冲刺40亿元营收目标，本次收购有助于扩大收入规模，但负债率上升的风险需要关注。此外，据媒体援引业内人士观点，思妍丽单店模型成熟，但翻新和数字化改造需要额外投入，短期内可能拉低合并报表的净利润率。美丽田园需要在增厚营收的同时，保持对思妍丽单店盈利的监控，避免因整合成本过高而侵蚀利润。据市场推测，美丽田园可能通过经营性现金流和债务融资组合完成支付，但具体融资结构未披露。</w:t>
      </w:r>
    </w:p>
    <w:p>
      <w:pPr>
        <w:spacing w:before="0" w:after="0" w:line="240" w:lineRule="auto" w:beforeLines="0" w:afterLines="0"/>
        <w:jc w:val="left"/>
        <w:ind w:firstLineChars="200"/>
      </w:pPr>
      <w:r>
        <w:rPr>
          <w:rFonts w:ascii="Times New Roman" w:hAnsi="Times New Roman" w:eastAsia="仿宋" w:cs="Times New Roman"/>
          <w:b/>
          <w:sz w:val="28"/>
        </w:rPr>
        <w:t>五、交割承接：客户留存、系统整合与人才稳定</w:t>
      </w:r>
    </w:p>
    <w:p>
      <w:pPr>
        <w:spacing w:before="0" w:after="0" w:line="240" w:lineRule="auto" w:beforeLines="0" w:afterLines="0"/>
        <w:jc w:val="both"/>
        <w:ind w:firstLineChars="200"/>
      </w:pPr>
      <w:r>
        <w:rPr>
          <w:rFonts w:ascii="Times New Roman" w:hAnsi="Times New Roman" w:eastAsia="仿宋" w:cs="Times New Roman"/>
          <w:b w:val="0"/>
          <w:sz w:val="28"/>
        </w:rPr>
        <w:t>交割后的核心任务是客户留存。据行业惯例，美容行业客户高度依赖门店位置和服务人员，思妍丽的高净值客户可能因品牌变更或服务人员流失而转移。美丽田园需要尽快推出会员权益互通方案，例如思妍丽的老客户可直接获得美丽田园的医美折扣，从而降低客户流失率。据媒体报道，美丽田园拥有较强的会员管理系统，但两套系统的数据打通需要时间和投入。</w:t>
      </w:r>
    </w:p>
    <w:p>
      <w:pPr>
        <w:spacing w:before="0" w:after="0" w:line="240" w:lineRule="auto" w:beforeLines="0" w:afterLines="0"/>
        <w:jc w:val="both"/>
        <w:ind w:firstLineChars="200"/>
      </w:pPr>
      <w:r>
        <w:rPr>
          <w:rFonts w:ascii="Times New Roman" w:hAnsi="Times New Roman" w:eastAsia="仿宋" w:cs="Times New Roman"/>
          <w:b w:val="0"/>
          <w:sz w:val="28"/>
        </w:rPr>
        <w:t>在系统整合层面，据市场分析，美丽田园应优先统一CRM、财务和采购系统，同时保留思妍丽的品牌前台独立性和门店SOP。从组织结构看，能否实现总部统一管理、门店独立运营，取决于美丽田园的管理半径。若思妍丽保持原管理团队并作为子公司运营，则整合难度相对较低；若进行全面并表换团队，则面临文化冲突风险。据时代在线报道，美丽田园此前收购行业老二时已积累过整合经验，这为本次交易提供了参考，但每笔收购的标的特性不同，方法论需要动态调整。</w:t>
      </w:r>
    </w:p>
    <w:p>
      <w:pPr>
        <w:spacing w:before="0" w:after="0" w:line="240" w:lineRule="auto" w:beforeLines="0" w:afterLines="0"/>
        <w:jc w:val="both"/>
        <w:ind w:firstLineChars="200"/>
      </w:pPr>
      <w:r>
        <w:rPr>
          <w:rFonts w:ascii="Times New Roman" w:hAnsi="Times New Roman" w:eastAsia="仿宋" w:cs="Times New Roman"/>
          <w:b w:val="0"/>
          <w:sz w:val="28"/>
        </w:rPr>
        <w:t>人才稳定是整合的又一关键。据媒体未披露思妍丽核心团队的留任安排，但据行业惯例，收购方通常会要求标的创始人或管理团队签署竞业禁止与留任协议。若思妍丽创始人张毅未留任，美丽田园需要依赖其现有中层管理团队或自行派员接管，这增加了运营风险。据腾讯新闻披露，思妍丽创始人与医院物业关联，若其退出，相关物业合作关系也需要重新确认。</w:t>
      </w:r>
    </w:p>
    <w:p>
      <w:pPr>
        <w:spacing w:before="0" w:after="0" w:line="240" w:lineRule="auto" w:beforeLines="0" w:afterLines="0"/>
        <w:jc w:val="left"/>
        <w:ind w:firstLineChars="200"/>
      </w:pPr>
      <w:r>
        <w:rPr>
          <w:rFonts w:ascii="Times New Roman" w:hAnsi="Times New Roman" w:eastAsia="仿宋" w:cs="Times New Roman"/>
          <w:b/>
          <w:sz w:val="28"/>
        </w:rPr>
        <w:t>六、方法论启示：上市平台持续收购同类资产的执行要点</w:t>
      </w:r>
    </w:p>
    <w:p>
      <w:pPr>
        <w:spacing w:before="0" w:after="0" w:line="240" w:lineRule="auto" w:beforeLines="0" w:afterLines="0"/>
        <w:jc w:val="both"/>
        <w:ind w:firstLineChars="200"/>
      </w:pPr>
      <w:r>
        <w:rPr>
          <w:rFonts w:ascii="Times New Roman" w:hAnsi="Times New Roman" w:eastAsia="仿宋" w:cs="Times New Roman"/>
          <w:b w:val="0"/>
          <w:sz w:val="28"/>
        </w:rPr>
        <w:t>本案例对希望借助上市平台持续整合同类资产的产业集团具有借鉴意义。第一，并购前需验证标的与自身品牌的客户互补性，而非仅追求市场份额。第二，交易条款中应尽可能锁定关键人才和过渡期安排，例如要求核心团队在交割后至少留任2-3年，并设定与业绩挂钩的留任奖金，降低交割后动荡。第三，交割后应尽快建立统一的后台系统（如CRM、采购、财务），同时保留前台品牌独立性，以平衡规模效应与品牌辨识度。</w:t>
      </w:r>
    </w:p>
    <w:p>
      <w:pPr>
        <w:spacing w:before="0" w:after="0" w:line="240" w:lineRule="auto" w:beforeLines="0" w:afterLines="0"/>
        <w:jc w:val="both"/>
        <w:ind w:firstLineChars="200"/>
      </w:pPr>
      <w:r>
        <w:rPr>
          <w:rFonts w:ascii="Times New Roman" w:hAnsi="Times New Roman" w:eastAsia="仿宋" w:cs="Times New Roman"/>
          <w:b w:val="0"/>
          <w:sz w:val="28"/>
        </w:rPr>
        <w:t>从风险角度，全资收购且无对赌安排时，买方需独立承担标的未来业绩波动的全部风险，因此财务尽调应更关注单店盈利模型的可持续性，而非仅看历史表观利润。此外，商誉减值的风险管理应贯穿投后整合全过程，定期进行资产组测试。据媒体报道，美丽田园此前收购行业老二时已积累过整合经验，这为本次交易提供了参考，但每笔收购的标的特性不同，方法论需要动态调整。</w:t>
      </w:r>
    </w:p>
    <w:p>
      <w:pPr>
        <w:spacing w:before="0" w:after="0" w:line="240" w:lineRule="auto" w:beforeLines="0" w:afterLines="0"/>
        <w:jc w:val="both"/>
        <w:ind w:firstLineChars="200"/>
      </w:pPr>
      <w:r>
        <w:rPr>
          <w:rFonts w:ascii="Times New Roman" w:hAnsi="Times New Roman" w:eastAsia="仿宋" w:cs="Times New Roman"/>
          <w:b w:val="0"/>
          <w:sz w:val="28"/>
        </w:rPr>
        <w:t>值得警惕的是，媒体形容本次交易为</w:t>
      </w:r>
      <w:r>
        <w:rPr>
          <w:rFonts w:ascii="Times New Roman" w:hAnsi="Times New Roman" w:eastAsia="Times New Roman" w:cs="Times New Roman"/>
          <w:b w:val="0"/>
          <w:sz w:val="28"/>
        </w:rPr>
        <w:t>“</w:t>
      </w:r>
      <w:r>
        <w:rPr>
          <w:rFonts w:ascii="Times New Roman" w:hAnsi="Times New Roman" w:eastAsia="仿宋" w:cs="Times New Roman"/>
          <w:b w:val="0"/>
          <w:sz w:val="28"/>
        </w:rPr>
        <w:t>中国美业今年最大收购案</w:t>
      </w:r>
      <w:r>
        <w:rPr>
          <w:rFonts w:ascii="Times New Roman" w:hAnsi="Times New Roman" w:eastAsia="Times New Roman" w:cs="Times New Roman"/>
          <w:b w:val="0"/>
          <w:sz w:val="28"/>
        </w:rPr>
        <w:t>”</w:t>
      </w:r>
      <w:r>
        <w:rPr>
          <w:rFonts w:ascii="Times New Roman" w:hAnsi="Times New Roman" w:eastAsia="仿宋" w:cs="Times New Roman"/>
          <w:b w:val="0"/>
          <w:sz w:val="28"/>
        </w:rPr>
        <w:t>，但</w:t>
      </w:r>
      <w:r>
        <w:rPr>
          <w:rFonts w:ascii="Times New Roman" w:hAnsi="Times New Roman" w:eastAsia="Times New Roman" w:cs="Times New Roman"/>
          <w:b w:val="0"/>
          <w:sz w:val="28"/>
        </w:rPr>
        <w:t>“</w:t>
      </w:r>
      <w:r>
        <w:rPr>
          <w:rFonts w:ascii="Times New Roman" w:hAnsi="Times New Roman" w:eastAsia="仿宋" w:cs="Times New Roman"/>
          <w:b w:val="0"/>
          <w:sz w:val="28"/>
        </w:rPr>
        <w:t>最大</w:t>
      </w:r>
      <w:r>
        <w:rPr>
          <w:rFonts w:ascii="Times New Roman" w:hAnsi="Times New Roman" w:eastAsia="Times New Roman" w:cs="Times New Roman"/>
          <w:b w:val="0"/>
          <w:sz w:val="28"/>
        </w:rPr>
        <w:t>”</w:t>
      </w:r>
      <w:r>
        <w:rPr>
          <w:rFonts w:ascii="Times New Roman" w:hAnsi="Times New Roman" w:eastAsia="仿宋" w:cs="Times New Roman"/>
          <w:b w:val="0"/>
          <w:sz w:val="28"/>
        </w:rPr>
        <w:t>未必等同于</w:t>
      </w:r>
      <w:r>
        <w:rPr>
          <w:rFonts w:ascii="Times New Roman" w:hAnsi="Times New Roman" w:eastAsia="Times New Roman" w:cs="Times New Roman"/>
          <w:b w:val="0"/>
          <w:sz w:val="28"/>
        </w:rPr>
        <w:t>“</w:t>
      </w:r>
      <w:r>
        <w:rPr>
          <w:rFonts w:ascii="Times New Roman" w:hAnsi="Times New Roman" w:eastAsia="仿宋" w:cs="Times New Roman"/>
          <w:b w:val="0"/>
          <w:sz w:val="28"/>
        </w:rPr>
        <w:t>最优</w:t>
      </w:r>
      <w:r>
        <w:rPr>
          <w:rFonts w:ascii="Times New Roman" w:hAnsi="Times New Roman" w:eastAsia="Times New Roman" w:cs="Times New Roman"/>
          <w:b w:val="0"/>
          <w:sz w:val="28"/>
        </w:rPr>
        <w:t>”</w:t>
      </w:r>
      <w:r>
        <w:rPr>
          <w:rFonts w:ascii="Times New Roman" w:hAnsi="Times New Roman" w:eastAsia="仿宋" w:cs="Times New Roman"/>
          <w:b w:val="0"/>
          <w:sz w:val="28"/>
        </w:rPr>
        <w:t>。整合成败的关键在于能否将采购、客户数据、管理人才等资源真正复用，实现1+1&gt;2。若仅停留在并表层面，则可能陷入</w:t>
      </w:r>
      <w:r>
        <w:rPr>
          <w:rFonts w:ascii="Times New Roman" w:hAnsi="Times New Roman" w:eastAsia="Times New Roman" w:cs="Times New Roman"/>
          <w:b w:val="0"/>
          <w:sz w:val="28"/>
        </w:rPr>
        <w:t>“</w:t>
      </w:r>
      <w:r>
        <w:rPr>
          <w:rFonts w:ascii="Times New Roman" w:hAnsi="Times New Roman" w:eastAsia="仿宋" w:cs="Times New Roman"/>
          <w:b w:val="0"/>
          <w:sz w:val="28"/>
        </w:rPr>
        <w:t>增收不增利</w:t>
      </w:r>
      <w:r>
        <w:rPr>
          <w:rFonts w:ascii="Times New Roman" w:hAnsi="Times New Roman" w:eastAsia="Times New Roman" w:cs="Times New Roman"/>
          <w:b w:val="0"/>
          <w:sz w:val="28"/>
        </w:rPr>
        <w:t>”</w:t>
      </w:r>
      <w:r>
        <w:rPr>
          <w:rFonts w:ascii="Times New Roman" w:hAnsi="Times New Roman" w:eastAsia="仿宋" w:cs="Times New Roman"/>
          <w:b w:val="0"/>
          <w:sz w:val="28"/>
        </w:rPr>
        <w:t>的困境。因此，建议管理层在交割后首年内优先推进会员权益互通和核心岗位统一培训，以最快的速度释放协同效应。</w:t>
      </w:r>
    </w:p>
    <w:p>
      <w:pPr>
        <w:spacing w:before="0" w:after="0" w:line="240" w:lineRule="auto" w:beforeLines="0" w:afterLines="0"/>
        <w:jc w:val="left"/>
        <w:ind w:firstLineChars="200"/>
      </w:pPr>
      <w:r>
        <w:rPr>
          <w:rFonts w:ascii="Times New Roman" w:hAnsi="Times New Roman" w:eastAsia="仿宋" w:cs="Times New Roman"/>
          <w:b/>
          <w:sz w:val="28"/>
        </w:rPr>
        <w:t>七、结语：多品牌整合的终局取决于运营能力而非交易规模</w:t>
      </w:r>
    </w:p>
    <w:p>
      <w:pPr>
        <w:spacing w:before="0" w:after="0" w:line="240" w:lineRule="auto" w:beforeLines="0" w:afterLines="0"/>
        <w:jc w:val="both"/>
        <w:ind w:firstLineChars="200"/>
      </w:pPr>
      <w:r>
        <w:rPr>
          <w:rFonts w:ascii="Times New Roman" w:hAnsi="Times New Roman" w:eastAsia="仿宋" w:cs="Times New Roman"/>
          <w:b w:val="0"/>
          <w:sz w:val="28"/>
        </w:rPr>
        <w:t>美丽田园12.5亿元全资收购思妍丽，本质上是借助上市平台加速行业洗牌。交易完成后，美丽田园的高端市场份额进一步扩大，但能否真正实现业绩增厚，取决于多品牌协同的落地效率和商誉风险的管控。本案例的启示在于：并购前需验证标的的客户价值与自身品牌的互补性，而非单纯追求市场份额；交易条款中应锁定关键人才和过渡期安排，降低交割后动荡；交割后应尽快建立统一的后台系统和文化融合机制，避免</w:t>
      </w:r>
      <w:r>
        <w:rPr>
          <w:rFonts w:ascii="Times New Roman" w:hAnsi="Times New Roman" w:eastAsia="Times New Roman" w:cs="Times New Roman"/>
          <w:b w:val="0"/>
          <w:sz w:val="28"/>
        </w:rPr>
        <w:t>“</w:t>
      </w:r>
      <w:r>
        <w:rPr>
          <w:rFonts w:ascii="Times New Roman" w:hAnsi="Times New Roman" w:eastAsia="仿宋" w:cs="Times New Roman"/>
          <w:b w:val="0"/>
          <w:sz w:val="28"/>
        </w:rPr>
        <w:t>两张皮</w:t>
      </w:r>
      <w:r>
        <w:rPr>
          <w:rFonts w:ascii="Times New Roman" w:hAnsi="Times New Roman" w:eastAsia="Times New Roman" w:cs="Times New Roman"/>
          <w:b w:val="0"/>
          <w:sz w:val="28"/>
        </w:rPr>
        <w:t>”</w:t>
      </w:r>
      <w:r>
        <w:rPr>
          <w:rFonts w:ascii="Times New Roman" w:hAnsi="Times New Roman" w:eastAsia="仿宋" w:cs="Times New Roman"/>
          <w:b w:val="0"/>
          <w:sz w:val="28"/>
        </w:rPr>
        <w:t>运营。同时，商誉减值始终是悬在头上的剑，美丽田园需要在增厚营收的同时，保持对思妍丽单店盈利的监控，确保收购创造正向价值。据华丽志报道，该交易为中国美业当年最大并购，其后续整合效果值得持续跟踪，也提醒其他产业集团：资本可以买来规模，但买不来协同，运营能力才是整合的终极壁垒。</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