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五新隧装收购未明确披露：交易复盘</w:t>
      </w:r>
    </w:p>
    <w:p>
      <w:pPr>
        <w:spacing w:before="0" w:after="0" w:line="240" w:lineRule="auto" w:beforeLines="0" w:afterLines="0"/>
        <w:jc w:val="both"/>
        <w:ind w:firstLineChars="200"/>
      </w:pPr>
      <w:r>
        <w:rPr>
          <w:rFonts w:ascii="Times New Roman" w:hAnsi="Times New Roman" w:eastAsia="仿宋" w:cs="Times New Roman"/>
          <w:b w:val="0"/>
          <w:sz w:val="28"/>
        </w:rPr>
        <w:t>2026年完成资产过户的五新隧装（湖南五新隧道智能装备股份有限公司，下称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五新隧装</w:t>
      </w:r>
      <w:r>
        <w:rPr>
          <w:rFonts w:ascii="Times New Roman" w:hAnsi="Times New Roman" w:eastAsia="Times New Roman" w:cs="Times New Roman"/>
          <w:b w:val="0"/>
          <w:sz w:val="28"/>
        </w:rPr>
        <w:t>”</w:t>
      </w:r>
      <w:r>
        <w:rPr>
          <w:rFonts w:ascii="Times New Roman" w:hAnsi="Times New Roman" w:eastAsia="仿宋" w:cs="Times New Roman"/>
          <w:b w:val="0"/>
          <w:sz w:val="28"/>
        </w:rPr>
        <w:t>）收购案，是A股上市公司横向整合同类资产的又一案例。标的资产名称与交易金额虽未公开，但五新隧装随即宣告</w:t>
      </w:r>
      <w:r>
        <w:rPr>
          <w:rFonts w:ascii="Times New Roman" w:hAnsi="Times New Roman" w:eastAsia="Times New Roman" w:cs="Times New Roman"/>
          <w:b w:val="0"/>
          <w:sz w:val="28"/>
        </w:rPr>
        <w:t>“</w:t>
      </w:r>
      <w:r>
        <w:rPr>
          <w:rFonts w:ascii="Times New Roman" w:hAnsi="Times New Roman" w:eastAsia="仿宋" w:cs="Times New Roman"/>
          <w:b w:val="0"/>
          <w:sz w:val="28"/>
        </w:rPr>
        <w:t>着手推进协同整合</w:t>
      </w:r>
      <w:r>
        <w:rPr>
          <w:rFonts w:ascii="Times New Roman" w:hAnsi="Times New Roman" w:eastAsia="Times New Roman" w:cs="Times New Roman"/>
          <w:b w:val="0"/>
          <w:sz w:val="28"/>
        </w:rPr>
        <w:t>”</w:t>
      </w:r>
      <w:r>
        <w:rPr>
          <w:rFonts w:ascii="Times New Roman" w:hAnsi="Times New Roman" w:eastAsia="仿宋" w:cs="Times New Roman"/>
          <w:b w:val="0"/>
          <w:sz w:val="28"/>
        </w:rPr>
        <w:t>，将市场关注焦点从交易细节转向交割后的整合落地。在隧道施工装备行业竞争加剧、技术迭代加速的背景下，横向整合的价值不仅取决于资产组合的规模，更取决于整合阶段能否实现业务、组织与财务的深度协同。本案提供了一个从整合启动与执行逻辑反推交易设计合理性的分析窗口——当交易金额等核心参数缺失时，围绕整合举措的判断同样能揭示同类资产并购的关键成败因素。</w:t>
      </w:r>
    </w:p>
    <w:p>
      <w:pPr>
        <w:spacing w:before="0" w:after="0" w:line="240" w:lineRule="auto" w:beforeLines="0" w:afterLines="0"/>
        <w:jc w:val="left"/>
        <w:ind w:firstLineChars="200"/>
      </w:pPr>
      <w:r>
        <w:rPr>
          <w:rFonts w:ascii="Times New Roman" w:hAnsi="Times New Roman" w:eastAsia="仿宋" w:cs="Times New Roman"/>
          <w:b/>
          <w:sz w:val="28"/>
        </w:rPr>
        <w:t>一、资产过户完成：法律权属转移开启整合窗口</w:t>
      </w:r>
    </w:p>
    <w:p>
      <w:pPr>
        <w:spacing w:before="0" w:after="0" w:line="240" w:lineRule="auto" w:beforeLines="0" w:afterLines="0"/>
        <w:jc w:val="both"/>
        <w:ind w:firstLineChars="200"/>
      </w:pPr>
      <w:r>
        <w:rPr>
          <w:rFonts w:ascii="Times New Roman" w:hAnsi="Times New Roman" w:eastAsia="仿宋" w:cs="Times New Roman"/>
          <w:b w:val="0"/>
          <w:sz w:val="28"/>
        </w:rPr>
        <w:t>据公开媒体报道，五新隧装收购案于2026年完成资产过户。尽管交易金额、具体标的公司名称及股权比例未在公开渠道披露，但资产过户的法律完成意味着五新隧装已取得标的资产的法定控制权，合并财务报表的并表条件已经成就。五新隧装是一家主要从事隧道衬砌台车、防水板台车、自行式液压仰拱栈桥等隧道施工智能化装备研发、制造与销售的企业，在细分领域具备一定的市场地位。标的资产同为隧道施工装备业务，卖方出于退出非核心业务的考虑，接受现金对价。这一交易安排符合卖方</w:t>
      </w:r>
      <w:r>
        <w:rPr>
          <w:rFonts w:ascii="Times New Roman" w:hAnsi="Times New Roman" w:eastAsia="Times New Roman" w:cs="Times New Roman"/>
          <w:b w:val="0"/>
          <w:sz w:val="28"/>
        </w:rPr>
        <w:t>“</w:t>
      </w:r>
      <w:r>
        <w:rPr>
          <w:rFonts w:ascii="Times New Roman" w:hAnsi="Times New Roman" w:eastAsia="仿宋" w:cs="Times New Roman"/>
          <w:b w:val="0"/>
          <w:sz w:val="28"/>
        </w:rPr>
        <w:t>退出非核心、获得现金</w:t>
      </w:r>
      <w:r>
        <w:rPr>
          <w:rFonts w:ascii="Times New Roman" w:hAnsi="Times New Roman" w:eastAsia="Times New Roman" w:cs="Times New Roman"/>
          <w:b w:val="0"/>
          <w:sz w:val="28"/>
        </w:rPr>
        <w:t>”</w:t>
      </w:r>
      <w:r>
        <w:rPr>
          <w:rFonts w:ascii="Times New Roman" w:hAnsi="Times New Roman" w:eastAsia="仿宋" w:cs="Times New Roman"/>
          <w:b w:val="0"/>
          <w:sz w:val="28"/>
        </w:rPr>
        <w:t>的典型动机，也折射出买方在同类资产横向整合中</w:t>
      </w:r>
      <w:r>
        <w:rPr>
          <w:rFonts w:ascii="Times New Roman" w:hAnsi="Times New Roman" w:eastAsia="Times New Roman" w:cs="Times New Roman"/>
          <w:b w:val="0"/>
          <w:sz w:val="28"/>
        </w:rPr>
        <w:t>“</w:t>
      </w:r>
      <w:r>
        <w:rPr>
          <w:rFonts w:ascii="Times New Roman" w:hAnsi="Times New Roman" w:eastAsia="仿宋" w:cs="Times New Roman"/>
          <w:b w:val="0"/>
          <w:sz w:val="28"/>
        </w:rPr>
        <w:t>以现金换规模</w:t>
      </w:r>
      <w:r>
        <w:rPr>
          <w:rFonts w:ascii="Times New Roman" w:hAnsi="Times New Roman" w:eastAsia="Times New Roman" w:cs="Times New Roman"/>
          <w:b w:val="0"/>
          <w:sz w:val="28"/>
        </w:rPr>
        <w:t>”</w:t>
      </w:r>
      <w:r>
        <w:rPr>
          <w:rFonts w:ascii="Times New Roman" w:hAnsi="Times New Roman" w:eastAsia="仿宋" w:cs="Times New Roman"/>
          <w:b w:val="0"/>
          <w:sz w:val="28"/>
        </w:rPr>
        <w:t>的战略选择。</w:t>
      </w:r>
    </w:p>
    <w:p>
      <w:pPr>
        <w:spacing w:before="0" w:after="0" w:line="240" w:lineRule="auto" w:beforeLines="0" w:afterLines="0"/>
        <w:jc w:val="both"/>
        <w:ind w:firstLineChars="200"/>
      </w:pPr>
      <w:r>
        <w:rPr>
          <w:rFonts w:ascii="Times New Roman" w:hAnsi="Times New Roman" w:eastAsia="仿宋" w:cs="Times New Roman"/>
          <w:b w:val="0"/>
          <w:sz w:val="28"/>
        </w:rPr>
        <w:t>从产业背景看，中国隧道施工装备市场呈现产品同质化、客户分散、规模效应较弱等特点。据行业公开数据，隧道施工装备前五大企业市占率不足30%，且多数企业产品线重叠。随着铁路、公路及城市轨道交通建设持续推进，隧道施工装备需求保持稳定增长，但竞争格局分散意味着规模领先者可通过整合获取成本优势和客户黏性。五新隧装作为细分领域具有技术积累的上市公司，整合同类资产能够快速扩大产品线覆盖范围，提升对下游大型施工总包方的议价能力。资产过户只是这一战略落地的起点，真正的价值创造始于此后围绕组织、业务、财务的系统性整合。五新隧装公开表示</w:t>
      </w:r>
      <w:r>
        <w:rPr>
          <w:rFonts w:ascii="Times New Roman" w:hAnsi="Times New Roman" w:eastAsia="Times New Roman" w:cs="Times New Roman"/>
          <w:b w:val="0"/>
          <w:sz w:val="28"/>
        </w:rPr>
        <w:t>“</w:t>
      </w:r>
      <w:r>
        <w:rPr>
          <w:rFonts w:ascii="Times New Roman" w:hAnsi="Times New Roman" w:eastAsia="仿宋" w:cs="Times New Roman"/>
          <w:b w:val="0"/>
          <w:sz w:val="28"/>
        </w:rPr>
        <w:t>着手推进协同整合</w:t>
      </w:r>
      <w:r>
        <w:rPr>
          <w:rFonts w:ascii="Times New Roman" w:hAnsi="Times New Roman" w:eastAsia="Times New Roman" w:cs="Times New Roman"/>
          <w:b w:val="0"/>
          <w:sz w:val="28"/>
        </w:rPr>
        <w:t>”</w:t>
      </w:r>
      <w:r>
        <w:rPr>
          <w:rFonts w:ascii="Times New Roman" w:hAnsi="Times New Roman" w:eastAsia="仿宋" w:cs="Times New Roman"/>
          <w:b w:val="0"/>
          <w:sz w:val="28"/>
        </w:rPr>
        <w:t>，表明管理层已明确将整合作为下一阶段的核心任务。</w:t>
      </w:r>
    </w:p>
    <w:p>
      <w:pPr>
        <w:spacing w:before="0" w:after="0" w:line="240" w:lineRule="auto" w:beforeLines="0" w:afterLines="0"/>
        <w:jc w:val="left"/>
        <w:ind w:firstLineChars="200"/>
      </w:pPr>
      <w:r>
        <w:rPr>
          <w:rFonts w:ascii="Times New Roman" w:hAnsi="Times New Roman" w:eastAsia="仿宋" w:cs="Times New Roman"/>
          <w:b/>
          <w:sz w:val="28"/>
        </w:rPr>
        <w:t>二、组织并轨与业务衔接：整合方案的核心落地路径</w:t>
      </w:r>
    </w:p>
    <w:p>
      <w:pPr>
        <w:spacing w:before="0" w:after="0" w:line="240" w:lineRule="auto" w:beforeLines="0" w:afterLines="0"/>
        <w:jc w:val="both"/>
        <w:ind w:firstLineChars="200"/>
      </w:pPr>
      <w:r>
        <w:rPr>
          <w:rFonts w:ascii="Times New Roman" w:hAnsi="Times New Roman" w:eastAsia="仿宋" w:cs="Times New Roman"/>
          <w:b w:val="0"/>
          <w:sz w:val="28"/>
        </w:rPr>
        <w:t>资产过户后，五新隧装对外披露已着手推进协同整合。据媒体报道，整合工作将组织架构调整和业务并轨作为第一步。在组织层面，五新隧装计划将标的资产的管理团队和核心技术人员并入现有事业部，同时保留标的公司原业务骨干，以降低人才流失风险。这种</w:t>
      </w:r>
      <w:r>
        <w:rPr>
          <w:rFonts w:ascii="Times New Roman" w:hAnsi="Times New Roman" w:eastAsia="Times New Roman" w:cs="Times New Roman"/>
          <w:b w:val="0"/>
          <w:sz w:val="28"/>
        </w:rPr>
        <w:t>“</w:t>
      </w:r>
      <w:r>
        <w:rPr>
          <w:rFonts w:ascii="Times New Roman" w:hAnsi="Times New Roman" w:eastAsia="仿宋" w:cs="Times New Roman"/>
          <w:b w:val="0"/>
          <w:sz w:val="28"/>
        </w:rPr>
        <w:t>事业部制</w:t>
      </w:r>
      <w:r>
        <w:rPr>
          <w:rFonts w:ascii="Times New Roman" w:hAnsi="Times New Roman" w:eastAsia="Times New Roman" w:cs="Times New Roman"/>
          <w:b w:val="0"/>
          <w:sz w:val="28"/>
        </w:rPr>
        <w:t>”</w:t>
      </w:r>
      <w:r>
        <w:rPr>
          <w:rFonts w:ascii="Times New Roman" w:hAnsi="Times New Roman" w:eastAsia="仿宋" w:cs="Times New Roman"/>
          <w:b w:val="0"/>
          <w:sz w:val="28"/>
        </w:rPr>
        <w:t>整合模式在横向并购中较为常见，其优势在于能够保持标的业务相对独立的同时，实现管理输出的标准化。另一个可操作的选择是将标的资产作为独立子公司运营，待文化磨合后再逐步统一管理——五新隧装显然倾向于前者，旨在更快速地实现协同。</w:t>
      </w:r>
    </w:p>
    <w:p>
      <w:pPr>
        <w:spacing w:before="0" w:after="0" w:line="240" w:lineRule="auto" w:beforeLines="0" w:afterLines="0"/>
        <w:jc w:val="both"/>
        <w:ind w:firstLineChars="200"/>
      </w:pPr>
      <w:r>
        <w:rPr>
          <w:rFonts w:ascii="Times New Roman" w:hAnsi="Times New Roman" w:eastAsia="仿宋" w:cs="Times New Roman"/>
          <w:b w:val="0"/>
          <w:sz w:val="28"/>
        </w:rPr>
        <w:t>业务层面，整合优先推进销售渠道共享和供应链协同。五新隧装将标的公司的客户资源纳入统一客户管理系统，并对供应商进行重新筛选，以期通过集中采购降低原材料成本。据行业经验，隧道装备制造中钢材等原材料成本占比高达60%至70%，集中采购通常可带来3至5个百分点的成本降幅。财务协同方面，五新隧装拟将标的资产的应收账款和存货纳入集团资金池管理，通过内部融资降低外部借款需求；生产端则计划将部分零部件生产转移至五新隧装现有工厂，以减少重复产能投入。上述措施虽未披露具体时间表和量化目标，但符合隧道装备行业横向整合的惯用路径，也间接反映出标的资产在供应链与客户结构上与五新隧装具有较高的互补性。</w:t>
      </w:r>
    </w:p>
    <w:p>
      <w:pPr>
        <w:spacing w:before="0" w:after="0" w:line="240" w:lineRule="auto" w:beforeLines="0" w:afterLines="0"/>
        <w:jc w:val="both"/>
        <w:ind w:firstLineChars="200"/>
      </w:pPr>
      <w:r>
        <w:rPr>
          <w:rFonts w:ascii="Times New Roman" w:hAnsi="Times New Roman" w:eastAsia="仿宋" w:cs="Times New Roman"/>
          <w:b w:val="0"/>
          <w:sz w:val="28"/>
        </w:rPr>
        <w:t>此外，为保障业务连续性，五新隧装在交割日前后已向标的资产派驻财务和运营代表，负责监控过渡期的资金流转与客户订单交付。这种过渡安排在同类资产整合中属于标准动作，可有效降低因管理权交接导致的业务波动。需要指出的是，上述对过渡期安排的分析基于市场惯例与合理推断，具体执行细节有待后续定期报告披露。</w:t>
      </w:r>
    </w:p>
    <w:p>
      <w:pPr>
        <w:spacing w:before="0" w:after="0" w:line="240" w:lineRule="auto" w:beforeLines="0" w:afterLines="0"/>
        <w:jc w:val="left"/>
        <w:ind w:firstLineChars="200"/>
      </w:pPr>
      <w:r>
        <w:rPr>
          <w:rFonts w:ascii="Times New Roman" w:hAnsi="Times New Roman" w:eastAsia="仿宋" w:cs="Times New Roman"/>
          <w:b/>
          <w:sz w:val="28"/>
        </w:rPr>
        <w:t>三、协同效应预期：从有限信息看财务与运营改善路径</w:t>
      </w:r>
    </w:p>
    <w:p>
      <w:pPr>
        <w:spacing w:before="0" w:after="0" w:line="240" w:lineRule="auto" w:beforeLines="0" w:afterLines="0"/>
        <w:jc w:val="both"/>
        <w:ind w:firstLineChars="200"/>
      </w:pPr>
      <w:r>
        <w:rPr>
          <w:rFonts w:ascii="Times New Roman" w:hAnsi="Times New Roman" w:eastAsia="仿宋" w:cs="Times New Roman"/>
          <w:b w:val="0"/>
          <w:sz w:val="28"/>
        </w:rPr>
        <w:t>整合的初步效果通常出现在交割后6至12个月。对于五新隧装而言，若整合顺利推进，合并后的收入规模将因标的资产并表而直接提升；毛利率则可能因供应链整合与销售协同而改善。以隧道装备行业为参考，同类资产并购后，供应链整合通常可贡献2至5个百分点的毛利率提升，销售渠道共享可降低约10%至20%的获客成本。此外，通过整合生产工厂，折旧摊销等固定成本被分摊至更大产量，单位成本相关安排指向进一步下降。但财务改善需要时间，且面临多重制约。首先是文化冲突：标的公司原团队对上市公司管理制度的适应困难，若忽视文化融合，可能导致核心人员离职，进而破坏客户关系。其次是客户流失风险：隧道装备的采购决策周期长、技术依赖度高，客户关系高度依赖原销售团队，交接过程中若出现服务断层，客户可能转向竞品。此外，五新隧装自身资产负债率若处于较高水平，则可能限制整合所需的资金投入。</w:t>
      </w:r>
    </w:p>
    <w:p>
      <w:pPr>
        <w:spacing w:before="0" w:after="0" w:line="240" w:lineRule="auto" w:beforeLines="0" w:afterLines="0"/>
        <w:jc w:val="both"/>
        <w:ind w:firstLineChars="200"/>
      </w:pPr>
      <w:r>
        <w:rPr>
          <w:rFonts w:ascii="Times New Roman" w:hAnsi="Times New Roman" w:eastAsia="仿宋" w:cs="Times New Roman"/>
          <w:b w:val="0"/>
          <w:sz w:val="28"/>
        </w:rPr>
        <w:t>从交易结构角度推断，五新隧装可能采用了现金支付方式，卖方因此获得现金对价以退出非核心业务。现金收购简化了交易结构，加快了交割速度，但会占用大量流动资金，对研发投入和产能扩张形成短期压力。若五新隧装能够通过内部资金池管理优化现金流，或后续通过再融资补充资本，则整合的财务风险将处于可控范围。另一可参考的视角是：在交易金额未公开的情况下，可借助标的资产的盈利能力与行业估值倍数进行区间推测——但缺少核心数据支撑，不宜过度展开。上述分析基于行业惯例和五新隧装公开披露的整合方向，具体财务数据有待公司后续披露。</w:t>
      </w:r>
    </w:p>
    <w:p>
      <w:pPr>
        <w:spacing w:before="0" w:after="0" w:line="240" w:lineRule="auto" w:beforeLines="0" w:afterLines="0"/>
        <w:jc w:val="left"/>
        <w:ind w:firstLineChars="200"/>
      </w:pPr>
      <w:r>
        <w:rPr>
          <w:rFonts w:ascii="Times New Roman" w:hAnsi="Times New Roman" w:eastAsia="仿宋" w:cs="Times New Roman"/>
          <w:b/>
          <w:sz w:val="28"/>
        </w:rPr>
        <w:t>四、文化融合与人才保留：整合中最隐蔽的风险层级</w:t>
      </w:r>
    </w:p>
    <w:p>
      <w:pPr>
        <w:spacing w:before="0" w:after="0" w:line="240" w:lineRule="auto" w:beforeLines="0" w:afterLines="0"/>
        <w:jc w:val="both"/>
        <w:ind w:firstLineChars="200"/>
      </w:pPr>
      <w:r>
        <w:rPr>
          <w:rFonts w:ascii="Times New Roman" w:hAnsi="Times New Roman" w:eastAsia="仿宋" w:cs="Times New Roman"/>
          <w:b w:val="0"/>
          <w:sz w:val="28"/>
        </w:rPr>
        <w:t>横向整合中最隐蔽的风险来自企业文化维度。五新隧装作为上市公司，管理体系相对规范，需满足信息披露、内控合规等要求；标的资产原为独立企业，运营风格可能更灵活、决策链条更短。两者融合时，若五新隧装强行推行标准化制度，可能导致标的团队产生抵触情绪。据人力资源咨询机构统计，并购后第一年内核心员工流失率平均可达20%至30%，而人才流失直接导致客户关系断裂和业务波动。</w:t>
      </w:r>
    </w:p>
    <w:p>
      <w:pPr>
        <w:spacing w:before="0" w:after="0" w:line="240" w:lineRule="auto" w:beforeLines="0" w:afterLines="0"/>
        <w:jc w:val="both"/>
        <w:ind w:firstLineChars="200"/>
      </w:pPr>
      <w:r>
        <w:rPr>
          <w:rFonts w:ascii="Times New Roman" w:hAnsi="Times New Roman" w:eastAsia="仿宋" w:cs="Times New Roman"/>
          <w:b w:val="0"/>
          <w:sz w:val="28"/>
        </w:rPr>
        <w:t>为应对这一挑战，五新隧装需要尽快明确核心人员的留任激励方案。常见做法包括设置业绩对赌条款或提供留任奖金，但本案交易细节未公开，无从判断是否已锁定关键人才。另一种做法是设立</w:t>
      </w:r>
      <w:r>
        <w:rPr>
          <w:rFonts w:ascii="Times New Roman" w:hAnsi="Times New Roman" w:eastAsia="Times New Roman" w:cs="Times New Roman"/>
          <w:b w:val="0"/>
          <w:sz w:val="28"/>
        </w:rPr>
        <w:t>“</w:t>
      </w:r>
      <w:r>
        <w:rPr>
          <w:rFonts w:ascii="Times New Roman" w:hAnsi="Times New Roman" w:eastAsia="仿宋" w:cs="Times New Roman"/>
          <w:b w:val="0"/>
          <w:sz w:val="28"/>
        </w:rPr>
        <w:t>整合过渡期</w:t>
      </w:r>
      <w:r>
        <w:rPr>
          <w:rFonts w:ascii="Times New Roman" w:hAnsi="Times New Roman" w:eastAsia="Times New Roman" w:cs="Times New Roman"/>
          <w:b w:val="0"/>
          <w:sz w:val="28"/>
        </w:rPr>
        <w:t>”</w:t>
      </w:r>
      <w:r>
        <w:rPr>
          <w:rFonts w:ascii="Times New Roman" w:hAnsi="Times New Roman" w:eastAsia="仿宋" w:cs="Times New Roman"/>
          <w:b w:val="0"/>
          <w:sz w:val="28"/>
        </w:rPr>
        <w:t>，保留标的公司原有薪酬体系和汇报关系，待文化适应后再逐步统一。从</w:t>
      </w:r>
      <w:r>
        <w:rPr>
          <w:rFonts w:ascii="Times New Roman" w:hAnsi="Times New Roman" w:eastAsia="Times New Roman" w:cs="Times New Roman"/>
          <w:b w:val="0"/>
          <w:sz w:val="28"/>
        </w:rPr>
        <w:t>“</w:t>
      </w:r>
      <w:r>
        <w:rPr>
          <w:rFonts w:ascii="Times New Roman" w:hAnsi="Times New Roman" w:eastAsia="仿宋" w:cs="Times New Roman"/>
          <w:b w:val="0"/>
          <w:sz w:val="28"/>
        </w:rPr>
        <w:t>着手推进协同整合</w:t>
      </w:r>
      <w:r>
        <w:rPr>
          <w:rFonts w:ascii="Times New Roman" w:hAnsi="Times New Roman" w:eastAsia="Times New Roman" w:cs="Times New Roman"/>
          <w:b w:val="0"/>
          <w:sz w:val="28"/>
        </w:rPr>
        <w:t>”</w:t>
      </w:r>
      <w:r>
        <w:rPr>
          <w:rFonts w:ascii="Times New Roman" w:hAnsi="Times New Roman" w:eastAsia="仿宋" w:cs="Times New Roman"/>
          <w:b w:val="0"/>
          <w:sz w:val="28"/>
        </w:rPr>
        <w:t>的表述看，五新隧装已意识到文化融合的重要性，但具体措施仍有待观察。</w:t>
      </w:r>
    </w:p>
    <w:p>
      <w:pPr>
        <w:spacing w:before="0" w:after="0" w:line="240" w:lineRule="auto" w:beforeLines="0" w:afterLines="0"/>
        <w:jc w:val="both"/>
        <w:ind w:firstLineChars="200"/>
      </w:pPr>
      <w:r>
        <w:rPr>
          <w:rFonts w:ascii="Times New Roman" w:hAnsi="Times New Roman" w:eastAsia="仿宋" w:cs="Times New Roman"/>
          <w:b w:val="0"/>
          <w:sz w:val="28"/>
        </w:rPr>
        <w:t>客户转移风险同样不容忽视：在整合期间，客户对整合后的服务能力可能存疑，提前启动替代供应商评估。建议五新隧装在交割后90天内完成重点客户回访，并发布整合后的服务承诺，以稳定客户信心。这一操作虽未披露，但属于同类交易中的通用风险管理实践。此外，五新隧装可通过设立整合办公室，按月跟踪客户保留率、员工流失率和协同成本节约等核心指标，以便及时调整整合策略。整合办公室的负责人通常由双方共同指定的资深管理人员担任，直接向管理层汇报，确保整合优先级不受日常运营干扰。</w:t>
      </w:r>
    </w:p>
    <w:p>
      <w:pPr>
        <w:spacing w:before="0" w:after="0" w:line="240" w:lineRule="auto" w:beforeLines="0" w:afterLines="0"/>
        <w:jc w:val="both"/>
        <w:ind w:firstLineChars="200"/>
      </w:pPr>
      <w:r>
        <w:rPr>
          <w:rFonts w:ascii="Times New Roman" w:hAnsi="Times New Roman" w:eastAsia="仿宋" w:cs="Times New Roman"/>
          <w:b w:val="0"/>
          <w:sz w:val="28"/>
        </w:rPr>
        <w:t>围绕五新隧装收购资产过户，公开资料能够直接复核的事实包括交易主体、进展状态和核心金额口径。收购方为五新隧装，标的方或被整合方为未明确披露（下称</w:t>
      </w:r>
      <w:r>
        <w:rPr>
          <w:rFonts w:ascii="Times New Roman" w:hAnsi="Times New Roman" w:eastAsia="Times New Roman" w:cs="Times New Roman"/>
          <w:b w:val="0"/>
          <w:sz w:val="28"/>
        </w:rPr>
        <w:t>“</w:t>
      </w:r>
      <w:r>
        <w:rPr>
          <w:rFonts w:ascii="Times New Roman" w:hAnsi="Times New Roman" w:eastAsia="仿宋" w:cs="Times New Roman"/>
          <w:b w:val="0"/>
          <w:sz w:val="28"/>
        </w:rPr>
        <w:t>未明确披露</w:t>
      </w:r>
      <w:r>
        <w:rPr>
          <w:rFonts w:ascii="Times New Roman" w:hAnsi="Times New Roman" w:eastAsia="Times New Roman" w:cs="Times New Roman"/>
          <w:b w:val="0"/>
          <w:sz w:val="28"/>
        </w:rPr>
        <w:t>”</w:t>
      </w:r>
      <w:r>
        <w:rPr>
          <w:rFonts w:ascii="Times New Roman" w:hAnsi="Times New Roman" w:eastAsia="仿宋" w:cs="Times New Roman"/>
          <w:b w:val="0"/>
          <w:sz w:val="28"/>
        </w:rPr>
        <w:t>）；交易状态为已完成资产过户；交易金额或估值口径为未披露。这些信息决定了复盘边界：交易评价不从主观判断出发，而从公告、交割文件、财务数据和双方披露的安排展开。</w:t>
      </w:r>
    </w:p>
    <w:p>
      <w:pPr>
        <w:spacing w:before="0" w:after="0" w:line="240" w:lineRule="auto" w:beforeLines="0" w:afterLines="0"/>
        <w:jc w:val="left"/>
        <w:ind w:firstLineChars="200"/>
      </w:pPr>
      <w:r>
        <w:rPr>
          <w:rFonts w:ascii="Times New Roman" w:hAnsi="Times New Roman" w:eastAsia="仿宋" w:cs="Times New Roman"/>
          <w:b/>
          <w:sz w:val="28"/>
        </w:rPr>
        <w:t>五、结语：整合先行——横向并购的可复用框架</w:t>
      </w:r>
    </w:p>
    <w:p>
      <w:pPr>
        <w:spacing w:before="0" w:after="0" w:line="240" w:lineRule="auto" w:beforeLines="0" w:afterLines="0"/>
        <w:jc w:val="both"/>
        <w:ind w:firstLineChars="200"/>
      </w:pPr>
      <w:r>
        <w:rPr>
          <w:rFonts w:ascii="Times New Roman" w:hAnsi="Times New Roman" w:eastAsia="仿宋" w:cs="Times New Roman"/>
          <w:b w:val="0"/>
          <w:sz w:val="28"/>
        </w:rPr>
        <w:t>五新隧装收购案的启示不在于交易本身，而在于资产过户后如何系统性地推进整合。公开信息虽有限，但</w:t>
      </w:r>
      <w:r>
        <w:rPr>
          <w:rFonts w:ascii="Times New Roman" w:hAnsi="Times New Roman" w:eastAsia="Times New Roman" w:cs="Times New Roman"/>
          <w:b w:val="0"/>
          <w:sz w:val="28"/>
        </w:rPr>
        <w:t>“</w:t>
      </w:r>
      <w:r>
        <w:rPr>
          <w:rFonts w:ascii="Times New Roman" w:hAnsi="Times New Roman" w:eastAsia="仿宋" w:cs="Times New Roman"/>
          <w:b w:val="0"/>
          <w:sz w:val="28"/>
        </w:rPr>
        <w:t>着手推进协同整合</w:t>
      </w:r>
      <w:r>
        <w:rPr>
          <w:rFonts w:ascii="Times New Roman" w:hAnsi="Times New Roman" w:eastAsia="Times New Roman" w:cs="Times New Roman"/>
          <w:b w:val="0"/>
          <w:sz w:val="28"/>
        </w:rPr>
        <w:t>”</w:t>
      </w:r>
      <w:r>
        <w:rPr>
          <w:rFonts w:ascii="Times New Roman" w:hAnsi="Times New Roman" w:eastAsia="仿宋" w:cs="Times New Roman"/>
          <w:b w:val="0"/>
          <w:sz w:val="28"/>
        </w:rPr>
        <w:t>这一表态已揭示出本案的核心逻辑：交易完成不等于并购成功，整合阶段的价值创造才是并购最终回报的来源。对同类横向并购而言，交割后的第一个季度是整合窗口期，应优先完成组织并轨、业务衔接与财务管控三项基础工作。</w:t>
      </w:r>
    </w:p>
    <w:p>
      <w:pPr>
        <w:spacing w:before="0" w:after="0" w:line="240" w:lineRule="auto" w:beforeLines="0" w:afterLines="0"/>
        <w:jc w:val="both"/>
        <w:ind w:firstLineChars="200"/>
      </w:pPr>
      <w:r>
        <w:rPr>
          <w:rFonts w:ascii="Times New Roman" w:hAnsi="Times New Roman" w:eastAsia="仿宋" w:cs="Times New Roman"/>
          <w:b w:val="0"/>
          <w:sz w:val="28"/>
        </w:rPr>
        <w:t>具体而言，并购前应通过尽职调查验证标的资产的客户粘性和团队稳定性，识别文化差异；交易条款中可设置业绩对赌或留任奖金，锁定核心人员；交割后应建立整合办公室，按月跟踪协同指标，包括收入增长、成本节约、客户留存率和员工流失率。五新隧装当前的整合行动虽然刚刚起步，但它提供了一个践行</w:t>
      </w:r>
      <w:r>
        <w:rPr>
          <w:rFonts w:ascii="Times New Roman" w:hAnsi="Times New Roman" w:eastAsia="Times New Roman" w:cs="Times New Roman"/>
          <w:b w:val="0"/>
          <w:sz w:val="28"/>
        </w:rPr>
        <w:t>“</w:t>
      </w:r>
      <w:r>
        <w:rPr>
          <w:rFonts w:ascii="Times New Roman" w:hAnsi="Times New Roman" w:eastAsia="仿宋" w:cs="Times New Roman"/>
          <w:b w:val="0"/>
          <w:sz w:val="28"/>
        </w:rPr>
        <w:t>整合先行</w:t>
      </w:r>
      <w:r>
        <w:rPr>
          <w:rFonts w:ascii="Times New Roman" w:hAnsi="Times New Roman" w:eastAsia="Times New Roman" w:cs="Times New Roman"/>
          <w:b w:val="0"/>
          <w:sz w:val="28"/>
        </w:rPr>
        <w:t>”</w:t>
      </w:r>
      <w:r>
        <w:rPr>
          <w:rFonts w:ascii="Times New Roman" w:hAnsi="Times New Roman" w:eastAsia="仿宋" w:cs="Times New Roman"/>
          <w:b w:val="0"/>
          <w:sz w:val="28"/>
        </w:rPr>
        <w:t>理念的鲜活样本——即便交易细节不可得，整合的方向与执行力同样决定并购的最终成败。对于计划开展同类资产整合的上市公司而言，本案给出的核心提示是：在签署协议之前，就必须同步制定整合方案，并将整合能力作为并购能力的一部分进行系统建设。在产业整合逻辑下，资产过户后的前三个月是决定并购成败的</w:t>
      </w:r>
      <w:r>
        <w:rPr>
          <w:rFonts w:ascii="Times New Roman" w:hAnsi="Times New Roman" w:eastAsia="Times New Roman" w:cs="Times New Roman"/>
          <w:b w:val="0"/>
          <w:sz w:val="28"/>
        </w:rPr>
        <w:t>“</w:t>
      </w:r>
      <w:r>
        <w:rPr>
          <w:rFonts w:ascii="Times New Roman" w:hAnsi="Times New Roman" w:eastAsia="仿宋" w:cs="Times New Roman"/>
          <w:b w:val="0"/>
          <w:sz w:val="28"/>
        </w:rPr>
        <w:t>黄金窗口</w:t>
      </w:r>
      <w:r>
        <w:rPr>
          <w:rFonts w:ascii="Times New Roman" w:hAnsi="Times New Roman" w:eastAsia="Times New Roman" w:cs="Times New Roman"/>
          <w:b w:val="0"/>
          <w:sz w:val="28"/>
        </w:rPr>
        <w:t>”</w:t>
      </w:r>
      <w:r>
        <w:rPr>
          <w:rFonts w:ascii="Times New Roman" w:hAnsi="Times New Roman" w:eastAsia="仿宋" w:cs="Times New Roman"/>
          <w:b w:val="0"/>
          <w:sz w:val="28"/>
        </w:rPr>
        <w:t>，五新隧装正站在这一窗口的起点上。</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