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 w:beforeLines="0" w:afterLines="0"/>
        <w:jc w:val="center"/>
        <w:ind/>
      </w:pPr>
      <w:r>
        <w:rPr>
          <w:rFonts w:ascii="Times New Roman" w:hAnsi="Times New Roman" w:eastAsia="黑体" w:cs="Times New Roman"/>
          <w:b w:val="0"/>
          <w:sz w:val="30"/>
        </w:rPr>
        <w:t>北京利德曼生化收购北京先声祥瑞生物制品：控制权与治理安排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本案例涉及北京利德曼生化股份有限公司（下称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北京利德曼生化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）收购北京先声祥瑞生物制品股份有限公司（下称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北京先声祥瑞生物制品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）的交易安排。交易前，本案例先从股权结构、控制权状态、业务状态和产业位置理解双方处境；交易的触发路径来自公告或监管披露《北京利德曼生化股份有限公司2026年半年度报告摘要》，目标线索为公开资料披露的买方动机为：由体外诊断主业向生物制品/疫苗赛道延伸，获取标的控股权，实现业务结构与业绩增厚。2026年上半年，北京利德曼生化股份有限公司（证券代码：300289，证券简称：利德曼）以支付现金方式收购北京先声祥瑞生物制品股份有限公司（下称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先声祥瑞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）61.50%股份，交易构成重大资产重组。从6月29日股东大会审议通过，到7月16日股份过户登记，再到8月完成董监事改组并纳入合并报表，控制权取得仅用约两个月。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一、披露边界：可证实事实与必须留白的对价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事实披露边界上，本案可引用的交易对价、估值或支付口径为以支付现金方式收购先声祥瑞235,040,700股（占其已发行股份61.50%），交易构成重大资产重组；具体现金对价金额公开资料未披露，以《重大资产购买报告书》披露为准。半年度报告摘要原文出现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50%，对本次交易收购对价及业绩承诺相关内容进行了调整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的截断表述，对价调整的完整内容公开资料未披露；时间线包括。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基于利德曼2026年半年度报告摘要（公告编号：2026-053），可证实的事实包括：利德曼以支付现金方式收购先声祥瑞235,040,700股，占其已发行股份61.50%，交易构成重大资产重组；2026年6月29日股东大会审议通过本次收购；2026年7月16日标的股份过户登记至上市公司名下，并取得中国证券登记结算有限责任公司出具的《证券过户登记确认书》；202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同一份摘要未披露交易对价金额，只注明对价以《重大资产购买报告书》披露为准；也未披露资金来源、估值方法、业绩承诺数值、首次董事会审议日及股份转让协议签署详情。利德曼半年报摘要中出现的营业收入151,964,325元与经营活动产生的现金流量净额9,249,766元均为截断数字，完整口径与上年同期增减幅度未呈现，不能用于推算本次收购的财务影响。这种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结构清晰、条款。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二、控制权取得的三段链条：股东大会、过户登记与董监事改组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控制权取得并非由单一时点完成，而是由三个相互衔接的动作构成。2026年6月29日股东大会审议通过本次收购，解决的是上市公司层面的授权问题，使交易获得内部决策合法性，属于交易启动的必要程序。2026年7月16日235,040,700股股份过户登记至利德曼名下，并取得《证券过户登记确认书》，解决的是标的股份的权属转移，使上市公司在法律上成为标的公司持股61.50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从会计与治理角度看，过户登记完成并不等于上市公司已能实质控制标的。只有通过改组董事会与监事会、掌握主要决策机构，才能将标的纳入合并报表并施加控制。利德曼在2026年8月完成换届改组后才将先声祥瑞并表，这一时点安排说明交易文件与后续治理动作是连贯设计的。需要区分两个层面的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控制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：利德曼半年度报告摘要明确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报告期实际控制人未发生变更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，这是上市公司层面的控制权。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三、61.50%与现金支付：控股但不全资的结构含义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61.50%这一比例具有双重含义：越过50%的绝对控股线，使利德曼能够控制标的公司股东大会的普通决议事项；但未达到三分之二特别决议线，意味着修改公司章程、增减注册资本、合并分立等重大事项仍需其他股东配合。买方取得的是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控制权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而非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全部话语权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，这与卖方部分投资方退出、标的资产保留少数股东的结构相匹配。从治理边界看，少数股东仍保留在标的公司内，其投票权足以对。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以现金支付、不涉及发行股份，使利德曼在取得并表主体的同时，未摊薄现有股东持股比例，未扩大股本，也未招致新的股东进入。报告期内上市公司实际控制人未发生变更，即印证了这一点。但现金收购会直接消耗上市公司货币资金，而公开资料未披露对价金额与资金来源，因此无法判断交易对利德曼流动性的实际压力。若对价规模较大，且自有资金不足，可能需依赖债务融资，进而抬高财务费用。这一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四、卖方投资方退出与标的资本化：客观安排与主观动机缺口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公开资料显示，出售方包括海南百迈、海南百家汇、南京百佳瑞等投资方，这些主体通过本次交易实现退出，标的资产则借上市公司平台实现资本化。这一表述指向了一级市场投资人的典型退出路径：将所持非上市产业资产出售给上市公司，换取现金对价，从而完成投资回收。出售方接受该安排的客观机制可以从已披露条款中观察：交易以现金方式支付，不涉及发行股份，转让完成后61.50%股份过户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出售方接受安排的主观原因，如是否因基金存续期届满、是否希望部分保留权益、对价是否满足回报要求等，公开资料未单独披露，不能编造。海南百迈、海南百家汇、南京百佳瑞等具体持股比例、转让对价分配以及是否仍持有剩余股份均未披露。在缺少这些信息时，只能确认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投资方退出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这一结果，无法评价其退出效率或收益水平。现金支付对投资方而言具有确定性，无需承担股份支付带来的股价波动风险，这是交易得以推进的现实条件之一，但不足以解释其全部动机。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五、对价及业绩承诺调整：一条被截断的条款重谈线索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利德曼2026年半年度报告摘要原文出现截断表述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50%，对本次交易收购对价及业绩承诺相关内容进行了调整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。这句话本身并不完整，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50%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可能指代某个比例或条款，但缺乏上下文，无法确定其准确含义。唯一可以确认的是，在交易推进过程中，收购对价及业绩承诺相关内容曾被调整。对价与业绩承诺的调整在并购交易中并不罕见，通常发生在尽职调查深化、评估结果变化或监管沟通之后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这一截断表述只能作为条款曾发生重谈的线索，而不能作为评价交易质量或双方博弈结果的依据。在公开资料未披露完整调整内容之前，任何关于对价是否合理、业绩承诺是否严格的判断都缺乏支撑。这也意味着本案的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交易价格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这一核心要素仍是空白，需要等待《重大资产购买报告书》或后续公告补全。对于外部观察者而言，这种留白恰恰凸显了交易披露的不对称：交割已经完成，但交易的经济条件尚未完全公开。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六、产业延伸与财务影响的有限判断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利德曼的主业为体外诊断，先声祥瑞为生物制品/疫苗企业。公开披露的买方动机为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由体外诊断主业向生物制品/疫苗赛道延伸，获取标的控股权，实现业务结构与业绩增厚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。这一动机揭示了上市公司寻求第二增长曲线的意图：通过控股收购进入与原有业务有一定关联但更具增长潜力的赛道。体外诊断与生物制品/疫苗在技术平台、注册监管、渠道终端等方面存在部分共通性，但具体协同路径——如技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从财务影响看，2026年8月起先声祥瑞纳入合并报表，将直接改变利德曼的收入结构与利润构成。但半年报摘要中的营业收入151,964,325元为截断数字，不能反映并表后的完整口径；经营活动产生的现金流量净额9,249,766元同样如此。在缺乏标的独立财务数据的情况下，无法量化并表带来的增厚效应或潜在风险。投资者只能等待后续定期报告或专项披露，才能评估这笔现金收购对上市公司盈利能力的实际贡献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七、结语：控制权与治理安排的核验方法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本案最值得复用的方法论意义，在于控制权取得被拆解为三个依次递进的环节：股东大会授权、股份过户登记、董监事改组并表。股东大会授权解决交易决策合法性，过户解决权属转移，董监事改组与并表解决实质控制。三者之间的时间差设计，既保证了程序合规，又为后续治理承接留出窗口。现金支付与不发行股份的组合，使上市公司在并表的同时保持股本结构和实际控制人稳定，但将流动性压力全部转移至收购方，本案未披露资金来源，同类交易在尽调阶段必须重点核查上市公司现金储备与融资安排。61.50%的股权比例在绝对控股线与特别决议线之间取得平衡，既确保控制权，又保留少数股东一定的制衡空间，但前提是少数股东的权利义务、退出安排与竞业禁止等条款需在交易文件中明确。利德曼收购先声祥瑞61.50%股份的案例，最终仍留下对价金额与业绩承诺调整内容两个核心空白，这提示外部观察者：在交割完成与并表落定之后，真正的交易条款才可能逐步浮出水面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回到北京利德曼生化与北京先声祥瑞生物制品，本案的方法论意义不在于把交易结果写成通用并购总结，而在于把以支付现金方式收购先声祥瑞235,040,700股（占其已发行股份61.50%），交易构成重大资产重组；具体现金对价金额公开资料未披露，以《重大资产购买报告书》披露为准。半年度报告摘要原文出现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50%，对本次交易收购对价及业绩承诺相关内容进行了调整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的截断表述，对价调整的完整内容公开资料未披露、标的股份数量：235,040,700股；占标的已发行股份比例：61.50%；支付方式：现金（不涉及发行股份）；股东大会通过日：2026年6月29日、控制权、股权比例、支付方式和交割条件放在同一披露链条中核验。因此，同类并购首先要确认信息披露是否足以支撑估值锚、条款安排、治理边界和交易执行；其次要把产业链位置、客户结构、产能、技术路线、资源禀赋和商业模式放回标的业务承接中判断；最后才评估收入、净利润、现金流、负债、资产、市值、订单、客户和用户等财务影响。对北京利德曼生化而言，关键是交割承接和整合节奏能否与已披露安排匹配；对北京先声祥瑞生物制品而言，关键是控制权或股东接受机制能否在公开资料边界内被持续验证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12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 w:beforeLines="0" w:afterLines="0"/>
      <w:jc w:val="both"/>
      <w:ind w:firstLineChars="200"/>
    </w:pPr>
    <w:rPr>
      <w:rFonts w:ascii="Times New Roman" w:hAnsi="Times New Roman" w:eastAsia="仿宋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before="0" w:line="240" w:lineRule="auto" w:beforeLines="0" w:afterLines="0"/>
      <w:jc w:val="both"/>
      <w:ind w:firstLineChars="200"/>
    </w:pPr>
    <w:rPr>
      <w:rFonts w:ascii="Times New Roman" w:hAnsi="Times New Roman" w:eastAsia="仿宋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