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公司筹划以现金方式购收购嘉士伯国际有限公司1：现金支付与业务承接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本案例涉及公司筹划以现金方式购买嘉士伯国际有限公司（下称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筹划以现金方式购买嘉士伯国际</w:t>
      </w:r>
      <w:r>
        <w:rPr>
          <w:rFonts w:ascii="Times New Roman" w:hAnsi="Times New Roman" w:eastAsia="Times New Roman" w:cs="Times New Roman"/>
          <w:b w:val="0"/>
          <w:sz w:val="28"/>
        </w:rPr>
        <w:t>”</w:t>
      </w:r>
      <w:r>
        <w:rPr>
          <w:rFonts w:ascii="Times New Roman" w:hAnsi="Times New Roman" w:eastAsia="仿宋" w:cs="Times New Roman"/>
          <w:b w:val="0"/>
          <w:sz w:val="28"/>
        </w:rPr>
        <w:t>）收购嘉士伯国际有限公司100%股权（下称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嘉士伯国际100%股权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重大资产重组的进展暨股权交割完成的公告》，目标线索为公告披露：公司原持有拉萨啤酒50%股权，为拉萨啤酒控股股东；为更好地聚焦实业、突出主业、深耕专业领域，公司筹划以现金方式购买嘉士伯国际所持拉萨啤酒50%股权。公告并称本次交易的完成有利于提高公司资产的完整性，增强公司的持续经营能力。一家已被法院裁定受理重整并被实施退市风险警示的上市公司，为何要在同一时期以现金方式买断自己已控股子公司拉萨啤酒剩余的50%股权？公开资料显示，西藏发展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*ST西发</w:t>
      </w:r>
      <w:r>
        <w:rPr>
          <w:rFonts w:ascii="Times New Roman" w:hAnsi="Times New Roman" w:eastAsia="Times New Roman" w:cs="Times New Roman"/>
          <w:b w:val="0"/>
          <w:sz w:val="28"/>
        </w:rPr>
        <w:t>”</w:t>
      </w:r>
      <w:r>
        <w:rPr>
          <w:rFonts w:ascii="Times New Roman" w:hAnsi="Times New Roman" w:eastAsia="仿宋" w:cs="Times New Roman"/>
          <w:b w:val="0"/>
          <w:sz w:val="28"/>
        </w:rPr>
        <w:t>，股票代码：000752）于2026年完成对嘉士伯国际有限公司所持西藏拉萨啤酒有限公司（下称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嘉士伯国际</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拉萨啤酒</w:t>
      </w:r>
      <w:r>
        <w:rPr>
          <w:rFonts w:ascii="Times New Roman" w:hAnsi="Times New Roman" w:eastAsia="Times New Roman" w:cs="Times New Roman"/>
          <w:b w:val="0"/>
          <w:sz w:val="28"/>
        </w:rPr>
        <w:t>”</w:t>
      </w:r>
      <w:r>
        <w:rPr>
          <w:rFonts w:ascii="Times New Roman" w:hAnsi="Times New Roman" w:eastAsia="仿宋" w:cs="Times New Roman"/>
          <w:b w:val="0"/>
          <w:sz w:val="28"/>
        </w:rPr>
        <w:t>）50%股权的现金收购，持股比例由50%升至100%。交易公告披露的标的为嘉士伯国际持有的拉萨啤酒50%股权，但案例名称却标注为</w:t>
      </w:r>
      <w:r>
        <w:rPr>
          <w:rFonts w:ascii="Times New Roman" w:hAnsi="Times New Roman" w:eastAsia="Times New Roman" w:cs="Times New Roman"/>
          <w:b w:val="0"/>
          <w:sz w:val="28"/>
        </w:rPr>
        <w:t>“</w:t>
      </w:r>
      <w:r>
        <w:rPr>
          <w:rFonts w:ascii="Times New Roman" w:hAnsi="Times New Roman" w:eastAsia="仿宋" w:cs="Times New Roman"/>
          <w:b w:val="0"/>
          <w:sz w:val="28"/>
        </w:rPr>
        <w:t>收购嘉士伯国际有限公司100%股权（下称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嘉士伯国际100%股权</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两者存在明显口径冲突。同时，成交金额、估值方法及拉萨啤酒的财务数据均未披露。因此，本案的观察重点不在于产业协同或估值高低，而在于重整约束下控股股东如何通过现金收购完成子公司全资化，以及公开披露边界对交易判断形成的限制。</w:t>
      </w:r>
    </w:p>
    <w:p>
      <w:pPr>
        <w:spacing w:before="0" w:after="0" w:line="240" w:lineRule="auto" w:beforeLines="0" w:afterLines="0"/>
        <w:jc w:val="left"/>
        <w:ind w:firstLineChars="200"/>
      </w:pPr>
      <w:r>
        <w:rPr>
          <w:rFonts w:ascii="Times New Roman" w:hAnsi="Times New Roman" w:eastAsia="仿宋" w:cs="Times New Roman"/>
          <w:b/>
          <w:sz w:val="28"/>
        </w:rPr>
        <w:t>一、标的口径与交易前股权状态：50%控股起点的全资化安排</w:t>
      </w:r>
    </w:p>
    <w:p>
      <w:pPr>
        <w:spacing w:before="0" w:after="0" w:line="240" w:lineRule="auto" w:beforeLines="0" w:afterLines="0"/>
        <w:jc w:val="both"/>
        <w:ind w:firstLineChars="200"/>
      </w:pPr>
      <w:r>
        <w:rPr>
          <w:rFonts w:ascii="Times New Roman" w:hAnsi="Times New Roman" w:eastAsia="仿宋" w:cs="Times New Roman"/>
          <w:b w:val="0"/>
          <w:sz w:val="28"/>
        </w:rPr>
        <w:t>交易前，*ST西发持有拉萨啤酒50%股权，为拉萨啤酒控股股东，拉萨啤酒是上市公司的控股子公司。本次交易标的为嘉士伯国际所持拉萨啤酒50%股权，交易完成后*ST西发持有100%股权。然而案例名称</w:t>
      </w:r>
      <w:r>
        <w:rPr>
          <w:rFonts w:ascii="Times New Roman" w:hAnsi="Times New Roman" w:eastAsia="Times New Roman" w:cs="Times New Roman"/>
          <w:b w:val="0"/>
          <w:sz w:val="28"/>
        </w:rPr>
        <w:t>“</w:t>
      </w:r>
      <w:r>
        <w:rPr>
          <w:rFonts w:ascii="Times New Roman" w:hAnsi="Times New Roman" w:eastAsia="仿宋" w:cs="Times New Roman"/>
          <w:b w:val="0"/>
          <w:sz w:val="28"/>
        </w:rPr>
        <w:t>*st西发收购嘉士伯国际有限公司100%股权</w:t>
      </w:r>
      <w:r>
        <w:rPr>
          <w:rFonts w:ascii="Times New Roman" w:hAnsi="Times New Roman" w:eastAsia="Times New Roman" w:cs="Times New Roman"/>
          <w:b w:val="0"/>
          <w:sz w:val="28"/>
        </w:rPr>
        <w:t>”</w:t>
      </w:r>
      <w:r>
        <w:rPr>
          <w:rFonts w:ascii="Times New Roman" w:hAnsi="Times New Roman" w:eastAsia="仿宋" w:cs="Times New Roman"/>
          <w:b w:val="0"/>
          <w:sz w:val="28"/>
        </w:rPr>
        <w:t>与公告披露的标的股权口径不一致，公开资料未披露收购嘉士伯国际100%股权的内容。这一冲突要求分析必须回归公告文本，将标的界定为嘉士伯国际持有的拉萨啤酒50%股权，而非嘉士伯国际本身。若仅依据案例名称，会误判交易标的和交易规模。</w:t>
      </w:r>
    </w:p>
    <w:p>
      <w:pPr>
        <w:spacing w:before="0" w:after="0" w:line="240" w:lineRule="auto" w:beforeLines="0" w:afterLines="0"/>
        <w:jc w:val="both"/>
        <w:ind w:firstLineChars="200"/>
      </w:pPr>
      <w:r>
        <w:rPr>
          <w:rFonts w:ascii="Times New Roman" w:hAnsi="Times New Roman" w:eastAsia="仿宋" w:cs="Times New Roman"/>
          <w:b w:val="0"/>
          <w:sz w:val="28"/>
        </w:rPr>
        <w:t>上市公司自身处于非正常经营状态：公告披露，公司被拉萨市中级人民法院裁定受理重整，深圳证券交易所因此对公司股票自2026年4月28日起实施退市风险警示。重整程序下的资产处置、重大交易和治理安排均受特殊约束。在此背景下，以现金买断子公司少数股权，一方面能够简化上市公司对核心子公司的权益结构，提高资产完整性；另一方面，交易能否完成、资金如何安排，需符合重整期间的要求。</w:t>
      </w:r>
    </w:p>
    <w:p>
      <w:pPr>
        <w:spacing w:before="0" w:after="0" w:line="240" w:lineRule="auto" w:beforeLines="0" w:afterLines="0"/>
        <w:jc w:val="both"/>
        <w:ind w:firstLineChars="200"/>
      </w:pPr>
      <w:r>
        <w:rPr>
          <w:rFonts w:ascii="Times New Roman" w:hAnsi="Times New Roman" w:eastAsia="仿宋" w:cs="Times New Roman"/>
          <w:b w:val="0"/>
          <w:sz w:val="28"/>
        </w:rPr>
        <w:t>拉萨啤酒作为区域性啤酒企业，其股权结构从50%到100%的归拢，在行业逻辑上通常意味着决策效率提升、利润全额并表以及消除少数股东利益分歧。但公告未披露拉萨啤酒的产能、区域市场份额、客户结构或经营数据，因此不能据此认定全资化必然带来经营改善。全资化的意义更多在于资产归属清晰化，而非产业竞争力提升。</w:t>
      </w:r>
    </w:p>
    <w:p>
      <w:pPr>
        <w:spacing w:before="0" w:after="0" w:line="240" w:lineRule="auto" w:beforeLines="0" w:afterLines="0"/>
        <w:jc w:val="left"/>
        <w:ind w:firstLineChars="200"/>
      </w:pPr>
      <w:r>
        <w:rPr>
          <w:rFonts w:ascii="Times New Roman" w:hAnsi="Times New Roman" w:eastAsia="仿宋" w:cs="Times New Roman"/>
          <w:b/>
          <w:sz w:val="28"/>
        </w:rPr>
        <w:t>二、程序推进与现金交易结构：三次审议、不涉及发行股份与控制权不变</w:t>
      </w:r>
    </w:p>
    <w:p>
      <w:pPr>
        <w:spacing w:before="0" w:after="0" w:line="240" w:lineRule="auto" w:beforeLines="0" w:afterLines="0"/>
        <w:jc w:val="both"/>
        <w:ind w:firstLineChars="200"/>
      </w:pPr>
      <w:r>
        <w:rPr>
          <w:rFonts w:ascii="Times New Roman" w:hAnsi="Times New Roman" w:eastAsia="仿宋" w:cs="Times New Roman"/>
          <w:b w:val="0"/>
          <w:sz w:val="28"/>
        </w:rPr>
        <w:t>交易推进时间线清晰可查：2026年1月29日，第十届董事会第八次会议审议通过公司与嘉士伯国际签署股权转让相关协议的议案；5月27日，第十届董事会第十次会议审议关于重大资产重组的相关议案；6月12日，2026年第二次临时股东会审议通过相关议案，其中包括关于与西藏道合签署调解协议的议案。三次审议表明交易被纳入重大资产重组管理，需履行董事会、股东会程序。</w:t>
      </w:r>
    </w:p>
    <w:p>
      <w:pPr>
        <w:spacing w:before="0" w:after="0" w:line="240" w:lineRule="auto" w:beforeLines="0" w:afterLines="0"/>
        <w:jc w:val="both"/>
        <w:ind w:firstLineChars="200"/>
      </w:pPr>
      <w:r>
        <w:rPr>
          <w:rFonts w:ascii="Times New Roman" w:hAnsi="Times New Roman" w:eastAsia="仿宋" w:cs="Times New Roman"/>
          <w:b w:val="0"/>
          <w:sz w:val="28"/>
        </w:rPr>
        <w:t>买方动因在公告中表述为：为更好地聚焦实业、突出主业、深耕专业领域，公司筹划以现金方式购买嘉士伯国际所持拉萨啤酒50%股权；本次交易完成有利于提高公司资产的完整性，增强公司的持续经营能力。这些表述属于公司自述目标，公告未给出具体经营指标或财务预测支撑。卖方嘉士伯国际出售的主观原因，公开资料未单独披露，不应擅自判断为外资退出或战略调整。</w:t>
      </w:r>
    </w:p>
    <w:p>
      <w:pPr>
        <w:spacing w:before="0" w:after="0" w:line="240" w:lineRule="auto" w:beforeLines="0" w:afterLines="0"/>
        <w:jc w:val="both"/>
        <w:ind w:firstLineChars="200"/>
      </w:pPr>
      <w:r>
        <w:rPr>
          <w:rFonts w:ascii="Times New Roman" w:hAnsi="Times New Roman" w:eastAsia="仿宋" w:cs="Times New Roman"/>
          <w:b w:val="0"/>
          <w:sz w:val="28"/>
        </w:rPr>
        <w:t>值得注意的是，本次交易不涉及发行股份、不构成关联交易、不改变控股股东和实际控制人，说明交易目的并非引入战略投资者或调整控制权，而是单纯的全资化整合。在重整期间以现金完成支付，对上市公司的流动性形成考验，但公告未披露资金具体来源。这一结构性安排本身即构成一种风险提示：上市公司在退市风险警示状态下动用现金收购资产，其资金链的稳健性需要后续信息验证。</w:t>
      </w:r>
    </w:p>
    <w:p>
      <w:pPr>
        <w:spacing w:before="0" w:after="0" w:line="240" w:lineRule="auto" w:beforeLines="0" w:afterLines="0"/>
        <w:jc w:val="left"/>
        <w:ind w:firstLineChars="200"/>
      </w:pPr>
      <w:r>
        <w:rPr>
          <w:rFonts w:ascii="Times New Roman" w:hAnsi="Times New Roman" w:eastAsia="仿宋" w:cs="Times New Roman"/>
          <w:b/>
          <w:sz w:val="28"/>
        </w:rPr>
        <w:t>三、交割执行闭环与配套安排：共管账户、代扣代缴税款、工商变更与和解金支付</w:t>
      </w:r>
    </w:p>
    <w:p>
      <w:pPr>
        <w:spacing w:before="0" w:after="0" w:line="240" w:lineRule="auto" w:beforeLines="0" w:afterLines="0"/>
        <w:jc w:val="both"/>
        <w:ind w:firstLineChars="200"/>
      </w:pPr>
      <w:r>
        <w:rPr>
          <w:rFonts w:ascii="Times New Roman" w:hAnsi="Times New Roman" w:eastAsia="仿宋" w:cs="Times New Roman"/>
          <w:b w:val="0"/>
          <w:sz w:val="28"/>
        </w:rPr>
        <w:t>执行环节的披露相对具体。公司与交易对方共管的银行账户已完成本次交易款项的支付，股权转让相关代扣代缴税款工作已办理完毕。共管银行账户的安排通常用于保障交易对价的安全支付，降低过户前资金风险；代扣代缴税款办理完毕则表明股权转让的税务义务已履行。2026年8月12日，公司披露《关于重大资产重组的进展公告》，拉萨啤酒取得西藏自治区市场监督管理局核发的营业执照，完成股。</w:t>
      </w:r>
    </w:p>
    <w:p>
      <w:pPr>
        <w:spacing w:before="0" w:after="0" w:line="240" w:lineRule="auto" w:beforeLines="0" w:afterLines="0"/>
        <w:jc w:val="both"/>
        <w:ind w:firstLineChars="200"/>
      </w:pPr>
      <w:r>
        <w:rPr>
          <w:rFonts w:ascii="Times New Roman" w:hAnsi="Times New Roman" w:eastAsia="仿宋" w:cs="Times New Roman"/>
          <w:b w:val="0"/>
          <w:sz w:val="28"/>
        </w:rPr>
        <w:t>与股权交割并行的，是公司与西藏道合科技有限公司（原西藏道合实业有限公司）之间的和解安排。公告披露，公司已完成向西藏道合科技有限公司和解金的支付，相关承诺方需继续按照《重组报告书》《股权转让协议》及补充协议、《调解协议》履行承诺。和解金支付与股权交割并行，提示本案并非单一的股权受让，而是嵌套于更广泛的重整与诉讼和解安排之中。</w:t>
      </w:r>
    </w:p>
    <w:p>
      <w:pPr>
        <w:spacing w:before="0" w:after="0" w:line="240" w:lineRule="auto" w:beforeLines="0" w:afterLines="0"/>
        <w:jc w:val="both"/>
        <w:ind w:firstLineChars="200"/>
      </w:pPr>
      <w:r>
        <w:rPr>
          <w:rFonts w:ascii="Times New Roman" w:hAnsi="Times New Roman" w:eastAsia="仿宋" w:cs="Times New Roman"/>
          <w:b w:val="0"/>
          <w:sz w:val="28"/>
        </w:rPr>
        <w:t>从交割程序看，共管账户付款、税款办理、工商变更和过户手续完成，构成可验证的闭环。在交易金额和估值数据缺失的情况下，这些程序性证据是判断交易是否真实完成的关键。外部观察者可以确认交易已经生效，但无法判断对价是否公允、付款节奏是否合理。这再次凸显了披露边界对分析深度的限制。</w:t>
      </w:r>
    </w:p>
    <w:p>
      <w:pPr>
        <w:spacing w:before="0" w:after="0" w:line="240" w:lineRule="auto" w:beforeLines="0" w:afterLines="0"/>
        <w:jc w:val="left"/>
        <w:ind w:firstLineChars="200"/>
      </w:pPr>
      <w:r>
        <w:rPr>
          <w:rFonts w:ascii="Times New Roman" w:hAnsi="Times New Roman" w:eastAsia="仿宋" w:cs="Times New Roman"/>
          <w:b/>
          <w:sz w:val="28"/>
        </w:rPr>
        <w:t>四、产业位置与披露边界：区域性啤酒资产全资化的有限意义与方法论启示</w:t>
      </w:r>
    </w:p>
    <w:p>
      <w:pPr>
        <w:spacing w:before="0" w:after="0" w:line="240" w:lineRule="auto" w:beforeLines="0" w:afterLines="0"/>
        <w:jc w:val="both"/>
        <w:ind w:firstLineChars="200"/>
      </w:pPr>
      <w:r>
        <w:rPr>
          <w:rFonts w:ascii="Times New Roman" w:hAnsi="Times New Roman" w:eastAsia="仿宋" w:cs="Times New Roman"/>
          <w:b w:val="0"/>
          <w:sz w:val="28"/>
        </w:rPr>
        <w:t>本节判断以公司筹划以现金方式购买嘉士伯国际有限公司与嘉士伯国际有限公司100%股权的公开交易事实为边界：公开资料未披露本次交易的具体金额/估值。支付方式为现金（公告表述</w:t>
      </w:r>
      <w:r>
        <w:rPr>
          <w:rFonts w:ascii="Times New Roman" w:hAnsi="Times New Roman" w:eastAsia="Times New Roman" w:cs="Times New Roman"/>
          <w:b w:val="0"/>
          <w:sz w:val="28"/>
        </w:rPr>
        <w:t>“</w:t>
      </w:r>
      <w:r>
        <w:rPr>
          <w:rFonts w:ascii="Times New Roman" w:hAnsi="Times New Roman" w:eastAsia="仿宋" w:cs="Times New Roman"/>
          <w:b w:val="0"/>
          <w:sz w:val="28"/>
        </w:rPr>
        <w:t>以现金方式购买</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本次交易不涉及发行股份</w:t>
      </w:r>
      <w:r>
        <w:rPr>
          <w:rFonts w:ascii="Times New Roman" w:hAnsi="Times New Roman" w:eastAsia="Times New Roman" w:cs="Times New Roman"/>
          <w:b w:val="0"/>
          <w:sz w:val="28"/>
        </w:rPr>
        <w:t>”</w:t>
      </w:r>
      <w:r>
        <w:rPr>
          <w:rFonts w:ascii="Times New Roman" w:hAnsi="Times New Roman" w:eastAsia="仿宋" w:cs="Times New Roman"/>
          <w:b w:val="0"/>
          <w:sz w:val="28"/>
        </w:rPr>
        <w:t>）；已完成过户/交割。截至公告披露日，标的资产过户手续已全部完成，公司已持有拉萨啤酒100%股权；公司与交易对方共管的银行账户已完成本次交易款项的支。</w:t>
      </w:r>
    </w:p>
    <w:p>
      <w:pPr>
        <w:spacing w:before="0" w:after="0" w:line="240" w:lineRule="auto" w:beforeLines="0" w:afterLines="0"/>
        <w:jc w:val="both"/>
        <w:ind w:firstLineChars="200"/>
      </w:pPr>
      <w:r>
        <w:rPr>
          <w:rFonts w:ascii="Times New Roman" w:hAnsi="Times New Roman" w:eastAsia="仿宋" w:cs="Times New Roman"/>
          <w:b w:val="0"/>
          <w:sz w:val="28"/>
        </w:rPr>
        <w:t>本案例最突出的披露特征是：成交金额、估值方法、支付对价构成以及拉萨啤酒的财务数据均未披露。这在重大资产重组进展公告中并非罕见，因为此类公告主要确认过户、付款与税务手续，而非重复交易方案全文。但外部观察者必须承认，缺乏对价金额和估值基准，就无法测算估值倍数或评估交易价格合理性；无法分析交易对上市公司资产负债率、货币资金、少数股东损益的影响；也无法判断标的资产对上市公司盈利能力的真实贡献。财务影响的评估因此只能停留在定性层面。</w:t>
      </w:r>
    </w:p>
    <w:p>
      <w:pPr>
        <w:spacing w:before="0" w:after="0" w:line="240" w:lineRule="auto" w:beforeLines="0" w:afterLines="0"/>
        <w:jc w:val="both"/>
        <w:ind w:firstLineChars="200"/>
      </w:pPr>
      <w:r>
        <w:rPr>
          <w:rFonts w:ascii="Times New Roman" w:hAnsi="Times New Roman" w:eastAsia="仿宋" w:cs="Times New Roman"/>
          <w:b w:val="0"/>
          <w:sz w:val="28"/>
        </w:rPr>
        <w:t>在</w:t>
      </w:r>
      <w:r>
        <w:rPr>
          <w:rFonts w:ascii="Times New Roman" w:hAnsi="Times New Roman" w:eastAsia="Times New Roman" w:cs="Times New Roman"/>
          <w:b w:val="0"/>
          <w:sz w:val="28"/>
        </w:rPr>
        <w:t>“</w:t>
      </w:r>
      <w:r>
        <w:rPr>
          <w:rFonts w:ascii="Times New Roman" w:hAnsi="Times New Roman" w:eastAsia="仿宋" w:cs="Times New Roman"/>
          <w:b w:val="0"/>
          <w:sz w:val="28"/>
        </w:rPr>
        <w:t>依托上市平台持续整合同类资产</w:t>
      </w:r>
      <w:r>
        <w:rPr>
          <w:rFonts w:ascii="Times New Roman" w:hAnsi="Times New Roman" w:eastAsia="Times New Roman" w:cs="Times New Roman"/>
          <w:b w:val="0"/>
          <w:sz w:val="28"/>
        </w:rPr>
        <w:t>”</w:t>
      </w:r>
      <w:r>
        <w:rPr>
          <w:rFonts w:ascii="Times New Roman" w:hAnsi="Times New Roman" w:eastAsia="仿宋" w:cs="Times New Roman"/>
          <w:b w:val="0"/>
          <w:sz w:val="28"/>
        </w:rPr>
        <w:t>的分类下，本案属于典型的内部全资化：并非横向并购新的同类资产，而是将已控股的子公司在股权层面完全归拢。这种操作在产业上的意义往往低于外部并购，但程序意义和治理意义更强。它不扩展市场边界，而是消除内部摩擦，为后续可能的资产处置或重组扫清股权障碍。从方法论看，同类交易应首先确认信息披露是否足以支撑估值锚、条款安排和治理边界；其次要把产业链位置。</w:t>
      </w:r>
    </w:p>
    <w:p>
      <w:pPr>
        <w:spacing w:before="0" w:after="0" w:line="240" w:lineRule="auto" w:beforeLines="0" w:afterLines="0"/>
        <w:jc w:val="left"/>
        <w:ind w:firstLineChars="200"/>
      </w:pPr>
      <w:r>
        <w:rPr>
          <w:rFonts w:ascii="Times New Roman" w:hAnsi="Times New Roman" w:eastAsia="仿宋" w:cs="Times New Roman"/>
          <w:b/>
          <w:sz w:val="28"/>
        </w:rPr>
        <w:t>五、结语：现金支付与业务承接的核验方法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西藏发展以现金从嘉士伯国际手中受让拉萨啤酒50%股权，完成了从控股股东到唯一股东的转变。交易程序上经历了董事会、股东会审议，执行上以共管账户付款、代扣代缴税款、工商变更和过户手续完成形成闭环；产业上实现了区域性啤酒资产的全资化，消除了少数股东权益；财务上由于未披露金额和经营数据，外部无法判断对价公允性和盈利影响。同时，上市公司处于重整和退市风险警示状态，本次交易的配套和解金支付提示其可能嵌套于更复杂的债务处置安排。</w:t>
      </w:r>
    </w:p>
    <w:p>
      <w:pPr>
        <w:spacing w:before="0" w:after="0" w:line="240" w:lineRule="auto" w:beforeLines="0" w:afterLines="0"/>
        <w:jc w:val="both"/>
        <w:ind w:firstLineChars="200"/>
      </w:pPr>
      <w:r>
        <w:rPr>
          <w:rFonts w:ascii="Times New Roman" w:hAnsi="Times New Roman" w:eastAsia="仿宋" w:cs="Times New Roman"/>
          <w:b w:val="0"/>
          <w:sz w:val="28"/>
        </w:rPr>
        <w:t>本案对同类并购的方法论意义有三点。第一，交易标的的口径必须先行核验：案例名称与公告披露不一致时，应以法定披露文件为准，否则会误判标的和规模。第二，在金额、估值等核心数据缺失的情况下，交割程序证据（共管账户、税款、工商变更）成为判断交易真实完成的关键，但财务影响仍需等待后续披露。第三，重整时期的资产归拢主要解决权益结构清晰化问题，不能替代对上市公司自身风险的评估；观察者必须将</w:t>
      </w:r>
      <w:r>
        <w:rPr>
          <w:rFonts w:ascii="Times New Roman" w:hAnsi="Times New Roman" w:eastAsia="Times New Roman" w:cs="Times New Roman"/>
          <w:b w:val="0"/>
          <w:sz w:val="28"/>
        </w:rPr>
        <w:t>“</w:t>
      </w:r>
      <w:r>
        <w:rPr>
          <w:rFonts w:ascii="Times New Roman" w:hAnsi="Times New Roman" w:eastAsia="仿宋" w:cs="Times New Roman"/>
          <w:b w:val="0"/>
          <w:sz w:val="28"/>
        </w:rPr>
        <w:t>子公司全资化</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母公司重整</w:t>
      </w:r>
      <w:r>
        <w:rPr>
          <w:rFonts w:ascii="Times New Roman" w:hAnsi="Times New Roman" w:eastAsia="Times New Roman" w:cs="Times New Roman"/>
          <w:b w:val="0"/>
          <w:sz w:val="28"/>
        </w:rPr>
        <w:t>”</w:t>
      </w:r>
      <w:r>
        <w:rPr>
          <w:rFonts w:ascii="Times New Roman" w:hAnsi="Times New Roman" w:eastAsia="仿宋" w:cs="Times New Roman"/>
          <w:b w:val="0"/>
          <w:sz w:val="28"/>
        </w:rPr>
        <w:t>分开审视。西藏发展虽已持有拉萨啤酒100%股权，但其上市主体命运仍取决于重整结果，这一结论应被后续进展持续检验。</w:t>
      </w:r>
    </w:p>
    <w:p>
      <w:pPr>
        <w:spacing w:before="0" w:after="0" w:line="240" w:lineRule="auto" w:beforeLines="0" w:afterLines="0"/>
        <w:jc w:val="both"/>
        <w:ind w:firstLineChars="200"/>
      </w:pPr>
      <w:r>
        <w:rPr>
          <w:rFonts w:ascii="Times New Roman" w:hAnsi="Times New Roman" w:eastAsia="仿宋" w:cs="Times New Roman"/>
          <w:b w:val="0"/>
          <w:sz w:val="28"/>
        </w:rPr>
        <w:t>回到公司筹划以现金方式购与嘉士伯国际有限公司1，本案的方法论意义不在于把交易结果写成通用并购总结，而在于把公开资料未披露本次交易的具体金额/估值。支付方式为现金（公告表述</w:t>
      </w:r>
      <w:r>
        <w:rPr>
          <w:rFonts w:ascii="Times New Roman" w:hAnsi="Times New Roman" w:eastAsia="Times New Roman" w:cs="Times New Roman"/>
          <w:b w:val="0"/>
          <w:sz w:val="28"/>
        </w:rPr>
        <w:t>“</w:t>
      </w:r>
      <w:r>
        <w:rPr>
          <w:rFonts w:ascii="Times New Roman" w:hAnsi="Times New Roman" w:eastAsia="仿宋" w:cs="Times New Roman"/>
          <w:b w:val="0"/>
          <w:sz w:val="28"/>
        </w:rPr>
        <w:t>以现金方式购买</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本次交易不涉及发行股份</w:t>
      </w:r>
      <w:r>
        <w:rPr>
          <w:rFonts w:ascii="Times New Roman" w:hAnsi="Times New Roman" w:eastAsia="Times New Roman" w:cs="Times New Roman"/>
          <w:b w:val="0"/>
          <w:sz w:val="28"/>
        </w:rPr>
        <w:t>”</w:t>
      </w:r>
      <w:r>
        <w:rPr>
          <w:rFonts w:ascii="Times New Roman" w:hAnsi="Times New Roman" w:eastAsia="仿宋" w:cs="Times New Roman"/>
          <w:b w:val="0"/>
          <w:sz w:val="28"/>
        </w:rPr>
        <w:t>）、股票代码：000752；公司原持有拉萨啤酒股权比例：50%；交易完成后公司持有拉萨啤酒股权比例：100%；交易标的（公告披露）：嘉士伯国际持有的拉萨啤酒50%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公司筹划以现金方式购而言，关键是交割承接和整合节奏能否与已披露安排匹配；对嘉士伯国际有限公司1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