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北京晟世天安科技收购厦门安妮：控制权与治理安排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本案例涉及北京晟世天安科技有限公司（下称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北京晟世天安科技</w:t>
      </w:r>
      <w:r>
        <w:rPr>
          <w:rFonts w:ascii="Times New Roman" w:hAnsi="Times New Roman" w:eastAsia="Times New Roman" w:cs="Times New Roman"/>
          <w:b w:val="0"/>
          <w:sz w:val="28"/>
        </w:rPr>
        <w:t>”</w:t>
      </w:r>
      <w:r>
        <w:rPr>
          <w:rFonts w:ascii="Times New Roman" w:hAnsi="Times New Roman" w:eastAsia="仿宋" w:cs="Times New Roman"/>
          <w:b w:val="0"/>
          <w:sz w:val="28"/>
        </w:rPr>
        <w:t>）收购厦门安妮股份有限公司（下称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厦门安妮</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厦门安妮股份有限公司关于股东协议转让过户完成暨公司控制权发生变更的提示性公告》，目标线索为公开资料未单独披露买方主观动机；客观交易安排：晟世天安受让92,291,534股（占公司股份总数15.92%），张杰放弃所持28,871,643股（占公司总股本4.98%）对应的表决权，公司控股股东及实际控制人发生变更；晟世天安承诺自协议转让股份过户登记完成之日起36个月内不转让通过本次受让的公司股份（原锁定期18个月，自愿延长18个月）。。</w:t>
      </w:r>
    </w:p>
    <w:p>
      <w:pPr>
        <w:spacing w:before="0" w:after="0" w:line="240" w:lineRule="auto" w:beforeLines="0" w:afterLines="0"/>
        <w:jc w:val="left"/>
        <w:ind w:firstLineChars="200"/>
      </w:pPr>
      <w:r>
        <w:rPr>
          <w:rFonts w:ascii="Times New Roman" w:hAnsi="Times New Roman" w:eastAsia="仿宋" w:cs="Times New Roman"/>
          <w:b/>
          <w:sz w:val="28"/>
        </w:rPr>
        <w:t>一、披露约束下的交易起点：仅可确认目标为深交所主板上市平台</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披露交易对价金额；披露股份数量：92,291,534股，占公司股份总数的15.92%；其中林旭曦转让86,669,683股（占14.95%），张杰转让5,621,851股（占0.97%）；交易方式为协议转让、股权/股份受让。；时间线包括2025年12月4日：林旭曦、张杰与晟世天安签署《关于厦门安；交易发生前，安妮股份控股股东、实际控制人为林旭曦女士和张杰先生。公告未披露两人转让前具体持股比例、表决权安排、股份质押或冻结情况，也未披露安妮股份主营业务、收入结构、行业地位、员工规模或客户资源。唯一明确的是拟转让股份性质为无限售流通股，不存在限售约束。因此，交易前安妮股份的经营状态、产业位置或财务压力无法从现有材料得出，只能确认其作为深交所主板上市公司的身份。</w:t>
      </w:r>
    </w:p>
    <w:p>
      <w:pPr>
        <w:spacing w:before="0" w:after="0" w:line="240" w:lineRule="auto" w:beforeLines="0" w:afterLines="0"/>
        <w:jc w:val="both"/>
        <w:ind w:firstLineChars="200"/>
      </w:pPr>
      <w:r>
        <w:rPr>
          <w:rFonts w:ascii="Times New Roman" w:hAnsi="Times New Roman" w:eastAsia="仿宋" w:cs="Times New Roman"/>
          <w:b w:val="0"/>
          <w:sz w:val="28"/>
        </w:rPr>
        <w:t>受让方晟世天安基本信息同样有限。公告显示，晟世天安成立于2015年4月3日，经营期限至无固定期限，通讯地址位于北京市北京经济技术开发区科谷一街10号院1号楼10层1003。公告未披露其股东背景、主营业务、资产规模、收入利润或现金流，也未说明收购资金来源。这一信息缺口使产业协同判断无法成立：晟世天安与安妮股份是否属于同一行业、是否存在上下游关联，公告均未提及。因此，对收购方的分析只能停留于交易结构层面；触发交易的法律事件是2025年12月4日林旭曦、张杰与晟世天安签署《关于厦门安妮股份有限公司之股份转让协议》，同日张杰与晟世天安签署《关于厦门安妮股份有限公司之表决权放弃协议》。2025年12月8日，安妮股份披露《关于控股股东、实际控制人签署&lt;股份转让协议&gt;&lt;表决权放弃协议&gt;暨控制权拟发生变更的提示性公告》（公告编号：2025-038）。交易目标在公告中清晰。</w:t>
      </w:r>
    </w:p>
    <w:p>
      <w:pPr>
        <w:spacing w:before="0" w:after="0" w:line="240" w:lineRule="auto" w:beforeLines="0" w:afterLines="0"/>
        <w:jc w:val="left"/>
        <w:ind w:firstLineChars="200"/>
      </w:pPr>
      <w:r>
        <w:rPr>
          <w:rFonts w:ascii="Times New Roman" w:hAnsi="Times New Roman" w:eastAsia="仿宋" w:cs="Times New Roman"/>
          <w:b/>
          <w:sz w:val="28"/>
        </w:rPr>
        <w:t>二、15.92%受让与4.98%表决权放弃：不触发要约收购的控制权数字构造</w:t>
      </w:r>
    </w:p>
    <w:p>
      <w:pPr>
        <w:spacing w:before="0" w:after="0" w:line="240" w:lineRule="auto" w:beforeLines="0" w:afterLines="0"/>
        <w:jc w:val="both"/>
        <w:ind w:firstLineChars="200"/>
      </w:pPr>
      <w:r>
        <w:rPr>
          <w:rFonts w:ascii="Times New Roman" w:hAnsi="Times New Roman" w:eastAsia="仿宋" w:cs="Times New Roman"/>
          <w:b w:val="0"/>
          <w:sz w:val="28"/>
        </w:rPr>
        <w:t>本次交易核心是股份转让与表决权放弃的联合设计。林旭曦转让86,669,683股（占总股本14.95%），张杰转让5,621,851股（占0.97%），合计转让92,291,534股，占15.92%。该比例低于《上市公司收购管理办法》规定的30%全面要约触发线，晟世天安无需向全体股东发出要约，仅通过协议转让即可取得股份。</w:t>
      </w:r>
    </w:p>
    <w:p>
      <w:pPr>
        <w:spacing w:before="0" w:after="0" w:line="240" w:lineRule="auto" w:beforeLines="0" w:afterLines="0"/>
        <w:jc w:val="both"/>
        <w:ind w:firstLineChars="200"/>
      </w:pPr>
      <w:r>
        <w:rPr>
          <w:rFonts w:ascii="Times New Roman" w:hAnsi="Times New Roman" w:eastAsia="仿宋" w:cs="Times New Roman"/>
          <w:b w:val="0"/>
          <w:sz w:val="28"/>
        </w:rPr>
        <w:t>15.92%的持股比例本身并不当然形成控制权。公告显示，张杰转让0.97%股份后仍持有28,871,643股，占4.98%。若该部分股份继续行使表决权，晟世天安的表决权地位可能并不稳固。为此，张杰在表决权放弃协议中承诺，自标的股份过户至晟世天安名下之日起，放弃其所持28,871,643股股份对应的表决权。这一放弃使原实控人的剩余表决权大幅缩减，晟世天安得以在。</w:t>
      </w:r>
    </w:p>
    <w:p>
      <w:pPr>
        <w:spacing w:before="0" w:after="0" w:line="240" w:lineRule="auto" w:beforeLines="0" w:afterLines="0"/>
        <w:jc w:val="both"/>
        <w:ind w:firstLineChars="200"/>
      </w:pPr>
      <w:r>
        <w:rPr>
          <w:rFonts w:ascii="Times New Roman" w:hAnsi="Times New Roman" w:eastAsia="仿宋" w:cs="Times New Roman"/>
          <w:b w:val="0"/>
          <w:sz w:val="28"/>
        </w:rPr>
        <w:t>从控制权获取方法论看，该结构展示了</w:t>
      </w:r>
      <w:r>
        <w:rPr>
          <w:rFonts w:ascii="Times New Roman" w:hAnsi="Times New Roman" w:eastAsia="Times New Roman" w:cs="Times New Roman"/>
          <w:b w:val="0"/>
          <w:sz w:val="28"/>
        </w:rPr>
        <w:t>“</w:t>
      </w:r>
      <w:r>
        <w:rPr>
          <w:rFonts w:ascii="Times New Roman" w:hAnsi="Times New Roman" w:eastAsia="仿宋" w:cs="Times New Roman"/>
          <w:b w:val="0"/>
          <w:sz w:val="28"/>
        </w:rPr>
        <w:t>股比不必过半、依靠表决权安排放大控制力</w:t>
      </w:r>
      <w:r>
        <w:rPr>
          <w:rFonts w:ascii="Times New Roman" w:hAnsi="Times New Roman" w:eastAsia="Times New Roman" w:cs="Times New Roman"/>
          <w:b w:val="0"/>
          <w:sz w:val="28"/>
        </w:rPr>
        <w:t>”</w:t>
      </w:r>
      <w:r>
        <w:rPr>
          <w:rFonts w:ascii="Times New Roman" w:hAnsi="Times New Roman" w:eastAsia="仿宋" w:cs="Times New Roman"/>
          <w:b w:val="0"/>
          <w:sz w:val="28"/>
        </w:rPr>
        <w:t>的路径。其关键细节在于将表决权放弃的起算点绑定为</w:t>
      </w:r>
      <w:r>
        <w:rPr>
          <w:rFonts w:ascii="Times New Roman" w:hAnsi="Times New Roman" w:eastAsia="Times New Roman" w:cs="Times New Roman"/>
          <w:b w:val="0"/>
          <w:sz w:val="28"/>
        </w:rPr>
        <w:t>“</w:t>
      </w:r>
      <w:r>
        <w:rPr>
          <w:rFonts w:ascii="Times New Roman" w:hAnsi="Times New Roman" w:eastAsia="仿宋" w:cs="Times New Roman"/>
          <w:b w:val="0"/>
          <w:sz w:val="28"/>
        </w:rPr>
        <w:t>标的股份过户至晟世天安名下之日</w:t>
      </w:r>
      <w:r>
        <w:rPr>
          <w:rFonts w:ascii="Times New Roman" w:hAnsi="Times New Roman" w:eastAsia="Times New Roman" w:cs="Times New Roman"/>
          <w:b w:val="0"/>
          <w:sz w:val="28"/>
        </w:rPr>
        <w:t>”</w:t>
      </w:r>
      <w:r>
        <w:rPr>
          <w:rFonts w:ascii="Times New Roman" w:hAnsi="Times New Roman" w:eastAsia="仿宋" w:cs="Times New Roman"/>
          <w:b w:val="0"/>
          <w:sz w:val="28"/>
        </w:rPr>
        <w:t>，而非签约日。这一设计确保过渡期内原实控人保留完整表决权，避免控制权真空；过户完成同时表决权结构切换，使控制权移交具备法律确定性。对于目标公司股权相对分散、收购方不愿承担过高资金压力或触发全面要约义务的情形，该结构兼具节约资金与降低监管摩擦的双重意义。</w:t>
      </w:r>
    </w:p>
    <w:p>
      <w:pPr>
        <w:spacing w:before="0" w:after="0" w:line="240" w:lineRule="auto" w:beforeLines="0" w:afterLines="0"/>
        <w:jc w:val="left"/>
        <w:ind w:firstLineChars="200"/>
      </w:pPr>
      <w:r>
        <w:rPr>
          <w:rFonts w:ascii="Times New Roman" w:hAnsi="Times New Roman" w:eastAsia="仿宋" w:cs="Times New Roman"/>
          <w:b/>
          <w:sz w:val="28"/>
        </w:rPr>
        <w:t>三、表决权放弃与36个月锁定：治理稳定性的条款约束与弹性保留</w:t>
      </w:r>
    </w:p>
    <w:p>
      <w:pPr>
        <w:spacing w:before="0" w:after="0" w:line="240" w:lineRule="auto" w:beforeLines="0" w:afterLines="0"/>
        <w:jc w:val="both"/>
        <w:ind w:firstLineChars="200"/>
      </w:pPr>
      <w:r>
        <w:rPr>
          <w:rFonts w:ascii="Times New Roman" w:hAnsi="Times New Roman" w:eastAsia="仿宋" w:cs="Times New Roman"/>
          <w:b w:val="0"/>
          <w:sz w:val="28"/>
        </w:rPr>
        <w:t>表决权放弃协议由三项要素构成：放弃主体为张杰，放弃股数28,871,643股（占总股本4.98%），放弃范围为该等股份对应表决权，放弃生效条件为标的股份过户至晟世天安名下。公告未披露该放弃是否设有期限或可撤销条件，但其与股份转让同步落地，构成控制权变更的必要条件。</w:t>
      </w:r>
    </w:p>
    <w:p>
      <w:pPr>
        <w:spacing w:before="0" w:after="0" w:line="240" w:lineRule="auto" w:beforeLines="0" w:afterLines="0"/>
        <w:jc w:val="both"/>
        <w:ind w:firstLineChars="200"/>
      </w:pPr>
      <w:r>
        <w:rPr>
          <w:rFonts w:ascii="Times New Roman" w:hAnsi="Times New Roman" w:eastAsia="仿宋" w:cs="Times New Roman"/>
          <w:b w:val="0"/>
          <w:sz w:val="28"/>
        </w:rPr>
        <w:t>锁定承诺来自晟世天安出具的《关于延长安妮股份股票锁定期的承诺函》。晟世天安承诺在原锁定期18个月基础上自愿延长18个月，即过户登记完成之日起36个月内不转让本次受让股份，但</w:t>
      </w:r>
      <w:r>
        <w:rPr>
          <w:rFonts w:ascii="Times New Roman" w:hAnsi="Times New Roman" w:eastAsia="Times New Roman" w:cs="Times New Roman"/>
          <w:b w:val="0"/>
          <w:sz w:val="28"/>
        </w:rPr>
        <w:t>“</w:t>
      </w:r>
      <w:r>
        <w:rPr>
          <w:rFonts w:ascii="Times New Roman" w:hAnsi="Times New Roman" w:eastAsia="仿宋" w:cs="Times New Roman"/>
          <w:b w:val="0"/>
          <w:sz w:val="28"/>
        </w:rPr>
        <w:t>该等股份在同一实际控制人控制的不同主体之间进行转让不受前述36个月的限制</w:t>
      </w:r>
      <w:r>
        <w:rPr>
          <w:rFonts w:ascii="Times New Roman" w:hAnsi="Times New Roman" w:eastAsia="Times New Roman" w:cs="Times New Roman"/>
          <w:b w:val="0"/>
          <w:sz w:val="28"/>
        </w:rPr>
        <w:t>”</w:t>
      </w:r>
      <w:r>
        <w:rPr>
          <w:rFonts w:ascii="Times New Roman" w:hAnsi="Times New Roman" w:eastAsia="仿宋" w:cs="Times New Roman"/>
          <w:b w:val="0"/>
          <w:sz w:val="28"/>
        </w:rPr>
        <w:t>。这一例外条款既维护了36个月锁定期的承诺强度，向市场传递中长期持股信号，又为同一实际控制人内部的资产划转或持股结构调整保留了操作空间，避免锁定期成为未来资本运作的硬约束。</w:t>
      </w:r>
    </w:p>
    <w:p>
      <w:pPr>
        <w:spacing w:before="0" w:after="0" w:line="240" w:lineRule="auto" w:beforeLines="0" w:afterLines="0"/>
        <w:jc w:val="both"/>
        <w:ind w:firstLineChars="200"/>
      </w:pPr>
      <w:r>
        <w:rPr>
          <w:rFonts w:ascii="Times New Roman" w:hAnsi="Times New Roman" w:eastAsia="仿宋" w:cs="Times New Roman"/>
          <w:b w:val="0"/>
          <w:sz w:val="28"/>
        </w:rPr>
        <w:t>从财务影响看，36个月锁定期限制了晟世天安所持股份的流动性，投入资金至少三年内处于冻结状态，但公告未披露收购资金来源，无法判断资金成本与承受能力。公告明确提示交易各方须遵守《上市公司股东减持股份管理暂行办法》《深圳证券交易所上市公司自律监管指引第18号——股东及董事、高级管理人员减持股份》等规定，因此锁定期不仅是自愿承诺，还叠加了合规约束。</w:t>
      </w:r>
    </w:p>
    <w:p>
      <w:pPr>
        <w:spacing w:before="0" w:after="0" w:line="240" w:lineRule="auto" w:beforeLines="0" w:afterLines="0"/>
        <w:jc w:val="left"/>
        <w:ind w:firstLineChars="200"/>
      </w:pPr>
      <w:r>
        <w:rPr>
          <w:rFonts w:ascii="Times New Roman" w:hAnsi="Times New Roman" w:eastAsia="仿宋" w:cs="Times New Roman"/>
          <w:b/>
          <w:sz w:val="28"/>
        </w:rPr>
        <w:t>四、八个月执行期与登记结算环节：协议转让式易主的程序时间成本</w:t>
      </w:r>
    </w:p>
    <w:p>
      <w:pPr>
        <w:spacing w:before="0" w:after="0" w:line="240" w:lineRule="auto" w:beforeLines="0" w:afterLines="0"/>
        <w:jc w:val="both"/>
        <w:ind w:firstLineChars="200"/>
      </w:pPr>
      <w:r>
        <w:rPr>
          <w:rFonts w:ascii="Times New Roman" w:hAnsi="Times New Roman" w:eastAsia="仿宋" w:cs="Times New Roman"/>
          <w:b w:val="0"/>
          <w:sz w:val="28"/>
        </w:rPr>
        <w:t>本案执行时间线清晰但跨度较长。2025年12月4日签约，2025年12月8日披露公告编号2025-038；2026年8月13日过户，2026年8月14日中国证券登记结算有限责任公司出具《证券过户登记确认书》，同日安妮股份董事会公告；2026年8月15日公告在巨潮资讯网披露（公告编号2026-036）。从签约到过户历时约八个月零九天。</w:t>
      </w:r>
    </w:p>
    <w:p>
      <w:pPr>
        <w:spacing w:before="0" w:after="0" w:line="240" w:lineRule="auto" w:beforeLines="0" w:afterLines="0"/>
        <w:jc w:val="both"/>
        <w:ind w:firstLineChars="200"/>
      </w:pPr>
      <w:r>
        <w:rPr>
          <w:rFonts w:ascii="Times New Roman" w:hAnsi="Times New Roman" w:eastAsia="仿宋" w:cs="Times New Roman"/>
          <w:b w:val="0"/>
          <w:sz w:val="28"/>
        </w:rPr>
        <w:t>这八个月中，公开披露节点仅有两处。公告未披露期间是否经历补充协议、监管问询、审批环节或交易条件调整，也未说明过户耗时较长的具体原因。从程序惯例看，协议转让股份过户需经登记结算公司审核办理，但八个月执行周期对于一单不触发要约收购、无重大资产重组的控制权转让而言偏长，提示同类交易在设计时间表时应充分预留登记结算环节耗时，并在协议中约定交割宽限期或违约责任。</w:t>
      </w:r>
    </w:p>
    <w:p>
      <w:pPr>
        <w:spacing w:before="0" w:after="0" w:line="240" w:lineRule="auto" w:beforeLines="0" w:afterLines="0"/>
        <w:jc w:val="both"/>
        <w:ind w:firstLineChars="200"/>
      </w:pPr>
      <w:r>
        <w:rPr>
          <w:rFonts w:ascii="Times New Roman" w:hAnsi="Times New Roman" w:eastAsia="仿宋" w:cs="Times New Roman"/>
          <w:b w:val="0"/>
          <w:sz w:val="28"/>
        </w:rPr>
        <w:t>公告在</w:t>
      </w:r>
      <w:r>
        <w:rPr>
          <w:rFonts w:ascii="Times New Roman" w:hAnsi="Times New Roman" w:eastAsia="Times New Roman" w:cs="Times New Roman"/>
          <w:b w:val="0"/>
          <w:sz w:val="28"/>
        </w:rPr>
        <w:t>“</w:t>
      </w:r>
      <w:r>
        <w:rPr>
          <w:rFonts w:ascii="Times New Roman" w:hAnsi="Times New Roman" w:eastAsia="仿宋" w:cs="Times New Roman"/>
          <w:b w:val="0"/>
          <w:sz w:val="28"/>
        </w:rPr>
        <w:t>其他说明</w:t>
      </w:r>
      <w:r>
        <w:rPr>
          <w:rFonts w:ascii="Times New Roman" w:hAnsi="Times New Roman" w:eastAsia="Times New Roman" w:cs="Times New Roman"/>
          <w:b w:val="0"/>
          <w:sz w:val="28"/>
        </w:rPr>
        <w:t>”</w:t>
      </w:r>
      <w:r>
        <w:rPr>
          <w:rFonts w:ascii="Times New Roman" w:hAnsi="Times New Roman" w:eastAsia="仿宋" w:cs="Times New Roman"/>
          <w:b w:val="0"/>
          <w:sz w:val="28"/>
        </w:rPr>
        <w:t>部分援引《中华人民共和国公司法》《中华人民共和国证券法》《上市公司收购管理办法》《深圳证券交易所股票上市规则》等法规，并声明本次转让不存在违反相关承诺的情况。这一合规性自查为交易提供了基础合规支撑，但未涉及更深入的商业合规审查。</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回到本案交易双方与最终状态：晟世天安通过受让安妮股份15.92%股份，并取得张杰放弃剩余4.98%股份表决权，成为控股股东，实际控制人变更为李宁先生和王磊女士。交易对价未披露，标的财务经营数据未披露，双方动机未披露，因此无法评价估值合理性、产业协同或后续资本运作。但本案在交易结构、执行程序和承诺边界三个层面提供了可检验的事实：股权比例与表决权比例的精算、表决权放弃起算点与过户日的绑定、36个月锁定期中</w:t>
      </w:r>
      <w:r>
        <w:rPr>
          <w:rFonts w:ascii="Times New Roman" w:hAnsi="Times New Roman" w:eastAsia="Times New Roman" w:cs="Times New Roman"/>
          <w:b w:val="0"/>
          <w:sz w:val="28"/>
        </w:rPr>
        <w:t>“</w:t>
      </w:r>
      <w:r>
        <w:rPr>
          <w:rFonts w:ascii="Times New Roman" w:hAnsi="Times New Roman" w:eastAsia="仿宋" w:cs="Times New Roman"/>
          <w:b w:val="0"/>
          <w:sz w:val="28"/>
        </w:rPr>
        <w:t>同一控制下主体间转让例外</w:t>
      </w:r>
      <w:r>
        <w:rPr>
          <w:rFonts w:ascii="Times New Roman" w:hAnsi="Times New Roman" w:eastAsia="Times New Roman" w:cs="Times New Roman"/>
          <w:b w:val="0"/>
          <w:sz w:val="28"/>
        </w:rPr>
        <w:t>”</w:t>
      </w:r>
      <w:r>
        <w:rPr>
          <w:rFonts w:ascii="Times New Roman" w:hAnsi="Times New Roman" w:eastAsia="仿宋" w:cs="Times New Roman"/>
          <w:b w:val="0"/>
          <w:sz w:val="28"/>
        </w:rPr>
        <w:t>的条款设计。</w:t>
      </w:r>
    </w:p>
    <w:p>
      <w:pPr>
        <w:spacing w:before="0" w:after="0" w:line="240" w:lineRule="auto" w:beforeLines="0" w:afterLines="0"/>
        <w:jc w:val="both"/>
        <w:ind w:firstLineChars="200"/>
      </w:pPr>
      <w:r>
        <w:rPr>
          <w:rFonts w:ascii="Times New Roman" w:hAnsi="Times New Roman" w:eastAsia="仿宋" w:cs="Times New Roman"/>
          <w:b w:val="0"/>
          <w:sz w:val="28"/>
        </w:rPr>
        <w:t>对于同类A股控制权并购，本案方法论启示在于：控制权获取并不必然要求持股超过30%或50%，</w:t>
      </w:r>
      <w:r>
        <w:rPr>
          <w:rFonts w:ascii="Times New Roman" w:hAnsi="Times New Roman" w:eastAsia="Times New Roman" w:cs="Times New Roman"/>
          <w:b w:val="0"/>
          <w:sz w:val="28"/>
        </w:rPr>
        <w:t>“</w:t>
      </w:r>
      <w:r>
        <w:rPr>
          <w:rFonts w:ascii="Times New Roman" w:hAnsi="Times New Roman" w:eastAsia="仿宋" w:cs="Times New Roman"/>
          <w:b w:val="0"/>
          <w:sz w:val="28"/>
        </w:rPr>
        <w:t>协议转让＋表决权放弃</w:t>
      </w:r>
      <w:r>
        <w:rPr>
          <w:rFonts w:ascii="Times New Roman" w:hAnsi="Times New Roman" w:eastAsia="Times New Roman" w:cs="Times New Roman"/>
          <w:b w:val="0"/>
          <w:sz w:val="28"/>
        </w:rPr>
        <w:t>”</w:t>
      </w:r>
      <w:r>
        <w:rPr>
          <w:rFonts w:ascii="Times New Roman" w:hAnsi="Times New Roman" w:eastAsia="仿宋" w:cs="Times New Roman"/>
          <w:b w:val="0"/>
          <w:sz w:val="28"/>
        </w:rPr>
        <w:t>的组合可显著降低资金压力与要约义务，但需精确计算各方股权与表决权变动后的对比关系；表决权放弃生效时点应与股权过户同步以避免过渡期控制权错配；锁定期承诺宜设计</w:t>
      </w:r>
      <w:r>
        <w:rPr>
          <w:rFonts w:ascii="Times New Roman" w:hAnsi="Times New Roman" w:eastAsia="Times New Roman" w:cs="Times New Roman"/>
          <w:b w:val="0"/>
          <w:sz w:val="28"/>
        </w:rPr>
        <w:t>“</w:t>
      </w:r>
      <w:r>
        <w:rPr>
          <w:rFonts w:ascii="Times New Roman" w:hAnsi="Times New Roman" w:eastAsia="仿宋" w:cs="Times New Roman"/>
          <w:b w:val="0"/>
          <w:sz w:val="28"/>
        </w:rPr>
        <w:t>同一实际控制人控制的不同主体之间转让例外</w:t>
      </w:r>
      <w:r>
        <w:rPr>
          <w:rFonts w:ascii="Times New Roman" w:hAnsi="Times New Roman" w:eastAsia="Times New Roman" w:cs="Times New Roman"/>
          <w:b w:val="0"/>
          <w:sz w:val="28"/>
        </w:rPr>
        <w:t>”</w:t>
      </w:r>
      <w:r>
        <w:rPr>
          <w:rFonts w:ascii="Times New Roman" w:hAnsi="Times New Roman" w:eastAsia="仿宋" w:cs="Times New Roman"/>
          <w:b w:val="0"/>
          <w:sz w:val="28"/>
        </w:rPr>
        <w:t>条款，在稳定预期与保留重组弹性之间取得平衡。这些条款均需在协议签署阶段明确写入。</w:t>
      </w:r>
    </w:p>
    <w:p>
      <w:pPr>
        <w:spacing w:before="0" w:after="0" w:line="240" w:lineRule="auto" w:beforeLines="0" w:afterLines="0"/>
        <w:jc w:val="both"/>
        <w:ind w:firstLineChars="200"/>
      </w:pPr>
      <w:r>
        <w:rPr>
          <w:rFonts w:ascii="Times New Roman" w:hAnsi="Times New Roman" w:eastAsia="仿宋" w:cs="Times New Roman"/>
          <w:b w:val="0"/>
          <w:sz w:val="28"/>
        </w:rPr>
        <w:t>本案局限同样明显：缺乏对价和标的经营数据，无法判断商业实质，也无法验证控制权变更是否指向后续资产注入或业务转型。后续观察安妮股份是否进行董事会改组、主营业务调整或资产重组，以及晟世天安是否披露资金来源和股东背景，将是验证本次控制权变更真实意图的关键变量。在现有披露条件下，本案最稳妥的定性是：一份依靠精确表决权安排和锁定承诺完成控制权交割的合规样本，其参考价值集中于交易结构设计，而非产业判断或估值模型。</w:t>
      </w:r>
    </w:p>
    <w:p>
      <w:pPr>
        <w:spacing w:before="0" w:after="0" w:line="240" w:lineRule="auto" w:beforeLines="0" w:afterLines="0"/>
        <w:jc w:val="both"/>
        <w:ind w:firstLineChars="200"/>
      </w:pPr>
      <w:r>
        <w:rPr>
          <w:rFonts w:ascii="Times New Roman" w:hAnsi="Times New Roman" w:eastAsia="仿宋" w:cs="Times New Roman"/>
          <w:b w:val="0"/>
          <w:sz w:val="28"/>
        </w:rPr>
        <w:t>回到北京晟世天安科技与厦门安妮，本案的方法论意义不在于把交易结果写成通用并购总结，而在于把公开资料未披露交易对价金额；披露股份数量：92,291,534股，占公司股份总数的15.92%；其中林旭曦转让86,669,683股（占14.95%），张杰转让5,621,851股（占0.97%）；交易方式为协议转让、股权/股份受让。、证券代码：002235；公告编号：2026-036；前次公告编号：2025-038；过户股数：92,291,534股、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北京晟世天安科技而言，关键是交割承接和整合节奏能否与已披露安排匹配；对厦门安妮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