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九祥安富证券投资10收购华阳智能8.48%股：要约与控制权安排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本案例涉及九祥安富证券投资10号私募基金（下称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九祥安富证券投资10号私募基金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）收购华阳智能8.48%股份（下称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华阳智能8.48%股份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的交易安排。交易前，本案例先从股权结构、控制权状态、业务状态和产业位置理解双方处境；交易的触发路径来自公告或监管披露《关于持股5%以上股东协议转让部分股份过户完成的公告》，目标线索为公开资料未单独披露受让方主观原因。可引用的客观安排依据：九祥安富与复星惟盈于2026年5月7日签订《股份转让协议》，以48.42元/股受让4,840,680股无限售流通股（占总股本8.48%），转让价款共计234,385,725.60元；过户后九祥安富持有4,840,680股（8.48%）；九祥安富承诺在标的股份过户至其名下后12个月内不减持；本次协议转让不。一笔不改变控制权、不触及要约收购的上市公司股份转让，其复盘价值不在协同效应或产业整合，而在交易结构能否以锁定承诺和比例边界完成股东更替。2026年5月7日，宁波梅山保税港区复星惟盈股权投资基金合伙企业（有限合伙）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复星惟盈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）与九祥安富证券投资10号私募基金（下称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九祥安富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）签订《股份转让协议》，约定复星惟盈将其持有的江苏华阳智能装备股份有限公司（下称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华阳智能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一、交易前复星惟盈持有10.48%无限售流通股，本次转让起点是存量股东减持而非控制权变更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事实披露边界上，本案可引用的交易对价、估值或支付口径为234,385,725.60元（转让价款）；48.42元/股；4,840,680股；占华阳智能总股本8.48%；时间线包括2026年5月7日：复星惟盈与九祥安富签订《股份转让协议》；2026年5月9日：披露《关于持股5%以上股东协议转让部分股份暨股东权益变动的提示性公告》（公告编号：2026-023）、《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前，复星惟盈是华阳智能持股5%以上股东，持有5,983,164股，占总股本10.48%，全部为无限售条件流通股。这一持股比例虽超过5%，但未达到控股地位，未改变华阳智能的既有控制权状态。公开资料未披露复星惟盈取得该等股份的时间、成本及入股背景，亦未披露其是否因基金存续期、组合调整或其他原因启动退出。但协议约定的转让数量与比例显示，复星惟盈选择一次性减持8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华阳智能作为标的公司，证券代码301502，创业板上市公司。公告未披露其业务经营状态和财务数据，因此无法从产业基本面角度解释本次转让的估值基础。但标的股份性质为无限售流通股，意味着转让方可以依法协议转让，无需受减持新规中部分限售限制。受让方九祥安富为私募基金产品，其作为受让主体承接8.48%股份，形成上市公司+PE的典型股东结构。从产业位置看，本次交易折射出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二、从协议签署到过户完成：2026年5月7日至8月20日的三个月合规链条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2026年5月7日，复星惟盈与九祥安富签订《股份转让协议》，约定转让股数、价格和总价款。5月9日，华阳智能披露《关于持股5%以上股东协议转让部分股份暨股东权益变动的提示性公告》（公告编号：2026-023），同时披露九祥安富和复星惟盈各自编制的《简式权益变动报告书》。这构成权益变动信息披露的第一层：由于转让方减持比例超过5%、受让方增持比例超过5%，双方均触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过户完成公告明确表述：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截至本公告披露日，本次协议转让股份过户登记办理情况、款项支付情况与前期披露、协议约定安排一致。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这一表述将交割的两个核心要素——股份登记与价款支付——捆绑确认，意味着受让方已按协议支付全部或协议约定比例的转让价款，且转账与过户未发现偏差。在公开披露层面，该一致性声明是判断交易已实质完成的最终依据。公告同时指出，本次协议转让不存在违反《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三、48.42元/股与12个月锁定：交易结构用价格、比例、锁定期划定边界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次交易以48.42元/股成交4,840,680股，总价款234,385,725.60元。每股价格精确到分，总价款精确到角，公告未给出定价基准日、参考市价或估值倍数。在缺少基准价格的情况下，无法在公开层面判断折溢价水平，只能记录价格条款本身。转让比例8.48%处于5%以上但低于30%要约收购线的中间区间，不触碰要约义务。交易完成后，复星惟盈持股降至2.00%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九祥安富承诺在标的股份过户至其名下后12个月内不减持。这一锁定安排具有两层功能：一是稳定市场预期，避免受让方在过户后立即抛售造成股价波动；二是约束私募基金产品的退出节奏，使其至少持有至2027年8月20日，符合监管对协议转让受让方一定期限锁定的常见要求。公告明确本次协议转让不触及要约收购，不会导致公司控股股东、实际控制人发生变化，不会对公司治理结构、财务状况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四、公开披露只给出条款结果：动机、定价基准、资金来源与公司财务均未披露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本案公告及简式权益变动报告书完整披露了交易股数、比例、价格、总价款、过户日期、锁定承诺和合规结论，但以下事项未披露：第一，买卖双方的主观动机，即复星惟盈减持的真实原因（基金存续期、投资回报兑现、组合调整或流动性需求）和九祥安富受让的目的（财务投资、战略配置或资产保值）；第二，定价基准，48.42元/股如何形成，是否参考二级市场价格、净资产或第三方估值，均无说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华阳智能为创业板公司，但公告未披露其所属细分行业、客户、产能或技术信息，因此不能将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智能装备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高端制造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等标签作为交易背景陈述。同样，不能因为复星惟盈名称中包含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复星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而推断其与复星系存在关联；公告仅载明其为宁波梅山保税港区的有限合伙企业，其普通合伙人、有限合伙人及管理人均未披露。研究纪律要求只使用已有披露，凡未说明者一律标注为未披露，不得在交易条款之外加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五、非控制权协议转让的方法论：减持承接、锁定期安排与要约线控制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协议转让在减持场景中的功能值得关注。相比集中竞价或大宗交易，协议转让允许转让方一次性出售较大比例股份，且对二级市场冲击较小。复星惟盈通过一笔交易减持8.48%，若通过集中竞价需分多个交易日，且受减持新规关于连续90日减持比例不得超过1%的限制，效率远低于协议转让。受让方九祥安富作为私募基金产品，以锁定12个月为代价承接该比例，属于产品化承接上市公司股东退出的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8.48%的转让比例刻意避开了30%的要约收购线，也远离实际控制权争夺所需的比例。这种安排表明交易目的并非控制权变更，而是财务性股东更替。对于上市公司而言，控制权不变意味着管理层稳定、经营延续；对于中小股东而言，公告中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不存在损害公司及中小投资者利益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的结论依赖于控制权不变和锁定承诺。在创业板注册制下，5%以上股东的进退需履行权益变动披露义务，本案双方均已遵守，但披露深度止于条款结果，外部研究者无法穿透至商业决策实质。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提示性公告与简式权益变动报告书解决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谁在动、动了多少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，过户完成公告解决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交易是否最终落地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。本次交易从5月7日签约到8月20日过户，历时约三个半月，期间经过深交所合规性确认，最终由中登公司完成登记。公告未披露款项支付的具体时间点，但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与协议约定安排一致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的表述将付款与过户绑定，降低了交割风险。这一流程对同类协议转让的启示是：合规确认前置、过户登记终局、披露。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六、结语：要约与控制权安排的核验方法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回到本案，复星惟盈以48.42元/股向九祥安富转让华阳智能8.48%股份（下称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华阳智能8.48%股份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，总价款234,385,725.60元，转让后持股降至2.00%，九祥安富成为持股8.48%的股东并承诺12个月内不减持。交易不触及要约收购、不改变控制权，公告确认过户登记与款项支付均与协议一致。本案例的方法论意义在于：非控制权交易的价值判断必须紧扣可核验的条款，包括比例、价格、锁定承诺和合规路径，而不能依赖未披露的动机或定价依据。当披露边界清晰时，研究者只能对结构做有限推断，对商业意图保持沉默。具体而言，本案通过8.48%的比例避开要约收购线，以12个月锁定约束受让方退出节奏，以深交所合规确认加中登过户完成实现交割闭环，同时以简式权益变动报告书和过户完成公告完成信息披露。这些可见的条款和流程，构成了同类交易可以复用的操作框架：比例决定合规义务边界，锁定期平衡市场稳定与退出需求，合规前置确保交割安全。对于外部观察者，如实记录披露边界本身，比强行构建商业故事更具方法论诚实。这正是本案作为上市公司+PE协议转让样本的核心价值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回到九祥安富证券投资10与华阳智能8.48%股，本案的方法论意义不在于把交易结果写成通用并购总结，而在于把234,385,725.60元（转让价款）；48.42元/股；4,840,680股；占华阳智能总股本8.48%、4,840,680股（占华阳智能总股本8.48%）；48.42元/股；234,385,725.60元；转让前复星惟盈持股5,983,164股，占总股本10.48%、控制权、股权比例、支付方式和交割条件放在同一披露链条中核验。因此，同类并购首先要确认信息披露是否足以支撑估值锚、条款安排、治理边界和交易执行；其次要把产业链位置、客户结构、产能、技术路线、资源禀赋和商业模式放回标的业务承接中判断；最后才评估收入、净利润、现金流、负债、资产、市值、订单、客户和用户等财务影响。对九祥安富证券投资10而言，关键是交割承接和整合节奏能否与已披露安排匹配；对华阳智能8.48%股而言，关键是控制权或股东接受机制能否在公开资料边界内被持续验证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