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美丽田园医疗健康收购思妍丽：交易复盘</w:t>
      </w:r>
    </w:p>
    <w:p>
      <w:pPr>
        <w:spacing w:before="0" w:after="0" w:line="240" w:lineRule="auto" w:beforeLines="0" w:afterLines="0"/>
        <w:jc w:val="both"/>
        <w:ind w:firstLineChars="200"/>
      </w:pPr>
      <w:r>
        <w:rPr>
          <w:rFonts w:ascii="Times New Roman" w:hAnsi="Times New Roman" w:eastAsia="仿宋" w:cs="Times New Roman"/>
          <w:b w:val="0"/>
          <w:sz w:val="28"/>
        </w:rPr>
        <w:t>2025年10月，美丽田园医疗健康（下称</w:t>
      </w:r>
      <w:r>
        <w:rPr>
          <w:rFonts w:ascii="Times New Roman" w:hAnsi="Times New Roman" w:eastAsia="Times New Roman" w:cs="Times New Roman"/>
          <w:b w:val="0"/>
          <w:sz w:val="28"/>
        </w:rPr>
        <w:t>“</w:t>
      </w:r>
      <w:r>
        <w:rPr>
          <w:rFonts w:ascii="Times New Roman" w:hAnsi="Times New Roman" w:eastAsia="仿宋" w:cs="Times New Roman"/>
          <w:b w:val="0"/>
          <w:sz w:val="28"/>
        </w:rPr>
        <w:t>美丽田园</w:t>
      </w:r>
      <w:r>
        <w:rPr>
          <w:rFonts w:ascii="Times New Roman" w:hAnsi="Times New Roman" w:eastAsia="Times New Roman" w:cs="Times New Roman"/>
          <w:b w:val="0"/>
          <w:sz w:val="28"/>
        </w:rPr>
        <w:t>”</w:t>
      </w:r>
      <w:r>
        <w:rPr>
          <w:rFonts w:ascii="Times New Roman" w:hAnsi="Times New Roman" w:eastAsia="仿宋" w:cs="Times New Roman"/>
          <w:b w:val="0"/>
          <w:sz w:val="28"/>
        </w:rPr>
        <w:t>，港股代码：2373.HK）以12.5亿元现金全资收购思妍丽（下称</w:t>
      </w:r>
      <w:r>
        <w:rPr>
          <w:rFonts w:ascii="Times New Roman" w:hAnsi="Times New Roman" w:eastAsia="Times New Roman" w:cs="Times New Roman"/>
          <w:b w:val="0"/>
          <w:sz w:val="28"/>
        </w:rPr>
        <w:t>“</w:t>
      </w:r>
      <w:r>
        <w:rPr>
          <w:rFonts w:ascii="Times New Roman" w:hAnsi="Times New Roman" w:eastAsia="仿宋" w:cs="Times New Roman"/>
          <w:b w:val="0"/>
          <w:sz w:val="28"/>
        </w:rPr>
        <w:t>思妍丽</w:t>
      </w:r>
      <w:r>
        <w:rPr>
          <w:rFonts w:ascii="Times New Roman" w:hAnsi="Times New Roman" w:eastAsia="Times New Roman" w:cs="Times New Roman"/>
          <w:b w:val="0"/>
          <w:sz w:val="28"/>
        </w:rPr>
        <w:t>”</w:t>
      </w:r>
      <w:r>
        <w:rPr>
          <w:rFonts w:ascii="Times New Roman" w:hAnsi="Times New Roman" w:eastAsia="仿宋" w:cs="Times New Roman"/>
          <w:b w:val="0"/>
          <w:sz w:val="28"/>
        </w:rPr>
        <w:t>）100%股权，成为中国美业年度最大并购案。在高端美容消费承压的行业背景下，这一交易不仅是市场份额的扩张，更考验着全现金支付后的财务稳健性与多品牌协同的真实兑现能力。本案例基于公开信息，从交易动因、标的价值、结构设计、整合路径与财务影响等维度展开分析，提炼同类交易可参考的方法。</w:t>
      </w:r>
    </w:p>
    <w:p>
      <w:pPr>
        <w:spacing w:before="0" w:after="0" w:line="240" w:lineRule="auto" w:beforeLines="0" w:afterLines="0"/>
        <w:jc w:val="left"/>
        <w:ind w:firstLineChars="200"/>
      </w:pPr>
      <w:r>
        <w:rPr>
          <w:rFonts w:ascii="Times New Roman" w:hAnsi="Times New Roman" w:eastAsia="仿宋" w:cs="Times New Roman"/>
          <w:b/>
          <w:sz w:val="28"/>
        </w:rPr>
        <w:t>一、消费承压期向上布局：美丽田园收购思妍丽的战略驱动</w:t>
      </w:r>
    </w:p>
    <w:p>
      <w:pPr>
        <w:spacing w:before="0" w:after="0" w:line="240" w:lineRule="auto" w:beforeLines="0" w:afterLines="0"/>
        <w:jc w:val="both"/>
        <w:ind w:firstLineChars="200"/>
      </w:pPr>
      <w:r>
        <w:rPr>
          <w:rFonts w:ascii="Times New Roman" w:hAnsi="Times New Roman" w:eastAsia="仿宋" w:cs="Times New Roman"/>
          <w:b w:val="0"/>
          <w:sz w:val="28"/>
        </w:rPr>
        <w:t>美丽田园作为中国高端美容连锁的头部企业，2025年实现营业收入30.01亿元，旗下拥有美丽田园、贝黎诗、秀可儿等多个品牌，覆盖生活美容、医疗美容及健康管理。公司管理层连松泳在2025年业绩说明会上指出，医美行业消费承压，增速放缓。内生增长面临瓶颈，通过并购整合实现规模效应和品牌协同成为战略选择。据媒体报道，美丽田园创始人李阳辞官创业22年，公司自1993年创立以来逐步发展，此前已收购贝黎诗等品牌，积累了整合经验。</w:t>
      </w:r>
    </w:p>
    <w:p>
      <w:pPr>
        <w:spacing w:before="0" w:after="0" w:line="240" w:lineRule="auto" w:beforeLines="0" w:afterLines="0"/>
        <w:jc w:val="both"/>
        <w:ind w:firstLineChars="200"/>
      </w:pPr>
      <w:r>
        <w:rPr>
          <w:rFonts w:ascii="Times New Roman" w:hAnsi="Times New Roman" w:eastAsia="仿宋" w:cs="Times New Roman"/>
          <w:b w:val="0"/>
          <w:sz w:val="28"/>
        </w:rPr>
        <w:t>思妍丽是中国高端美容市场的另一代表品牌，年营收约5亿元，拥有广泛的高端客户网络和品牌资产。据媒体报道，思妍丽股东存在套现需求，出售股权能够获得可观溢价。从标的定位看，思妍丽在超高端客户群体中影响力较强，与美丽田园形成互补。收购完成后，美丽田园可获得更多高净值客户资源，进一步提升市场渗透率。</w:t>
      </w:r>
    </w:p>
    <w:p>
      <w:pPr>
        <w:spacing w:before="0" w:after="0" w:line="240" w:lineRule="auto" w:beforeLines="0" w:afterLines="0"/>
        <w:jc w:val="both"/>
        <w:ind w:firstLineChars="200"/>
      </w:pPr>
      <w:r>
        <w:rPr>
          <w:rFonts w:ascii="Times New Roman" w:hAnsi="Times New Roman" w:eastAsia="仿宋" w:cs="Times New Roman"/>
          <w:b w:val="0"/>
          <w:sz w:val="28"/>
        </w:rPr>
        <w:t>从产业竞争格局看，美容连锁行业集中度较低，头部企业通过横向整合能够快速扩大规模，建立采购、营销、系统建设等方面的协同优势。美丽田园此前已通过收购贝黎诗等品牌积累了整合经验，此次对思妍丽的收购是其巩固行业龙头地位的关键一步。这一战略布局发生在行业下行周期，体现了管理层对长期格局的预判。</w:t>
      </w:r>
    </w:p>
    <w:p>
      <w:pPr>
        <w:spacing w:before="0" w:after="0" w:line="240" w:lineRule="auto" w:beforeLines="0" w:afterLines="0"/>
        <w:jc w:val="left"/>
        <w:ind w:firstLineChars="200"/>
      </w:pPr>
      <w:r>
        <w:rPr>
          <w:rFonts w:ascii="Times New Roman" w:hAnsi="Times New Roman" w:eastAsia="仿宋" w:cs="Times New Roman"/>
          <w:b/>
          <w:sz w:val="28"/>
        </w:rPr>
        <w:t>二、思妍丽的品牌资产与客户网络：溢价的核心来源</w:t>
      </w:r>
    </w:p>
    <w:p>
      <w:pPr>
        <w:spacing w:before="0" w:after="0" w:line="240" w:lineRule="auto" w:beforeLines="0" w:afterLines="0"/>
        <w:jc w:val="both"/>
        <w:ind w:firstLineChars="200"/>
      </w:pPr>
      <w:r>
        <w:rPr>
          <w:rFonts w:ascii="Times New Roman" w:hAnsi="Times New Roman" w:eastAsia="仿宋" w:cs="Times New Roman"/>
          <w:b w:val="0"/>
          <w:sz w:val="28"/>
        </w:rPr>
        <w:t>思妍丽的核心资产并非固定资产，而是其品牌声誉和高端客户关系网络。据媒体报道，思妍丽的门店多位于一二线城市核心商圈，单店营收和客单价较高，会员复购率超过行业平均水平。这些无形资产在传统财务报告中难以量化，但却是并购溢价的主要来源。与美丽田园相比，思妍丽在超高端市场拥有更强品牌认知，两者客户重叠度有限，互补性明显。</w:t>
      </w:r>
    </w:p>
    <w:p>
      <w:pPr>
        <w:spacing w:before="0" w:after="0" w:line="240" w:lineRule="auto" w:beforeLines="0" w:afterLines="0"/>
        <w:jc w:val="both"/>
        <w:ind w:firstLineChars="200"/>
      </w:pPr>
      <w:r>
        <w:rPr>
          <w:rFonts w:ascii="Times New Roman" w:hAnsi="Times New Roman" w:eastAsia="仿宋" w:cs="Times New Roman"/>
          <w:b w:val="0"/>
          <w:sz w:val="28"/>
        </w:rPr>
        <w:t>对美丽田园而言，将思妍丽的高端客户导入自身服务体系，实现交叉销售（例如从生活美容引流至医疗美容），是价值释放的关键。但品牌资产的承接也存在风险：高端客户对服务体验极其敏感，若整合过程中出现管理失误或服务标准下降，可能导致客户流失。因此，本次交易的定价不仅应基于历史财务数据，更需要评估投后整合中对品牌价值的保护能力。思妍丽年营收约5亿元，但净利润和负债情况未公开披露。据市场分析，思妍丽盈利水平可能与美丽田园存在差异，具体有待整合后财报验证。收购后若思妍丽贡献利润为正，但可能稀释整体净利率，这要求整合后通过运营效率提升来弥补。</w:t>
      </w:r>
    </w:p>
    <w:p>
      <w:pPr>
        <w:spacing w:before="0" w:after="0" w:line="240" w:lineRule="auto" w:beforeLines="0" w:afterLines="0"/>
        <w:jc w:val="left"/>
        <w:ind w:firstLineChars="200"/>
      </w:pPr>
      <w:r>
        <w:rPr>
          <w:rFonts w:ascii="Times New Roman" w:hAnsi="Times New Roman" w:eastAsia="仿宋" w:cs="Times New Roman"/>
          <w:b/>
          <w:sz w:val="28"/>
        </w:rPr>
        <w:t>三、12.5亿全现金交易的结构设计：估值逻辑与风险承担</w:t>
      </w:r>
    </w:p>
    <w:p>
      <w:pPr>
        <w:spacing w:before="0" w:after="0" w:line="240" w:lineRule="auto" w:beforeLines="0" w:afterLines="0"/>
        <w:jc w:val="both"/>
        <w:ind w:firstLineChars="200"/>
      </w:pPr>
      <w:r>
        <w:rPr>
          <w:rFonts w:ascii="Times New Roman" w:hAnsi="Times New Roman" w:eastAsia="仿宋" w:cs="Times New Roman"/>
          <w:b w:val="0"/>
          <w:sz w:val="28"/>
        </w:rPr>
        <w:t>本次交易采用全现金支付方式，交易对价12.5亿元全额以现金支付。据公开资料，资金来源包括自有资金及银行借款。截至2025年底，美丽田园自有现金储备较为充足，具备支付能力。但全现金收购会消耗大量现金储备，使资产负债率上升，具体幅度取决于融资结构。市场普遍关注公司能否保持足够的流动性以应对潜在投资需求。</w:t>
      </w:r>
    </w:p>
    <w:p>
      <w:pPr>
        <w:spacing w:before="0" w:after="0" w:line="240" w:lineRule="auto" w:beforeLines="0" w:afterLines="0"/>
        <w:jc w:val="both"/>
        <w:ind w:firstLineChars="200"/>
      </w:pPr>
      <w:r>
        <w:rPr>
          <w:rFonts w:ascii="Times New Roman" w:hAnsi="Times New Roman" w:eastAsia="仿宋" w:cs="Times New Roman"/>
          <w:b w:val="0"/>
          <w:sz w:val="28"/>
        </w:rPr>
        <w:t>交易估值方面，基于思妍丽年营收约5亿元，PS倍数约为2.5倍。与可比交易比较：2018年行业某收购案PS约3倍，本次交易估值相对保守，反映了市场对高端美容增长放缓的预期。公开资料未披露业绩对赌或补偿安排，意味着美丽田园完全承担了盈利波动的风险。这种结构对买方而言，虽然避免了卖方短期行为，但也意味着没有业绩保障机制，并购后的经营成果完全取决于整合能力。</w:t>
      </w:r>
    </w:p>
    <w:p>
      <w:pPr>
        <w:spacing w:before="0" w:after="0" w:line="240" w:lineRule="auto" w:beforeLines="0" w:afterLines="0"/>
        <w:jc w:val="both"/>
        <w:ind w:firstLineChars="200"/>
      </w:pPr>
      <w:r>
        <w:rPr>
          <w:rFonts w:ascii="Times New Roman" w:hAnsi="Times New Roman" w:eastAsia="仿宋" w:cs="Times New Roman"/>
          <w:b w:val="0"/>
          <w:sz w:val="28"/>
        </w:rPr>
        <w:t>资金安排的考量：美丽田园2025年经营活动现金流净额虽有良好表现，但12.5亿元现金流出相当于较大比例的年度经营现金流。并购后需通过运营改善和协同效应尽快回收现金，否则将影响公司的投资灵活性和再融资空间。因此在尽调环节，对思妍丽的现金流产生能力做审慎评估至关重要，需确保标的能够自给或贡献正向现金流。据市场分析，若思妍丽每年可贡献约1亿元自由现金流，回收期在5年左右，这对整合效率提出了较高要求。</w:t>
      </w:r>
    </w:p>
    <w:p>
      <w:pPr>
        <w:spacing w:before="0" w:after="0" w:line="240" w:lineRule="auto" w:beforeLines="0" w:afterLines="0"/>
        <w:jc w:val="left"/>
        <w:ind w:firstLineChars="200"/>
      </w:pPr>
      <w:r>
        <w:rPr>
          <w:rFonts w:ascii="Times New Roman" w:hAnsi="Times New Roman" w:eastAsia="仿宋" w:cs="Times New Roman"/>
          <w:b/>
          <w:sz w:val="28"/>
        </w:rPr>
        <w:t>四、交割后第一年的整合主线：品牌独立、客户共享与供应链协同</w:t>
      </w:r>
    </w:p>
    <w:p>
      <w:pPr>
        <w:spacing w:before="0" w:after="0" w:line="240" w:lineRule="auto" w:beforeLines="0" w:afterLines="0"/>
        <w:jc w:val="both"/>
        <w:ind w:firstLineChars="200"/>
      </w:pPr>
      <w:r>
        <w:rPr>
          <w:rFonts w:ascii="Times New Roman" w:hAnsi="Times New Roman" w:eastAsia="仿宋" w:cs="Times New Roman"/>
          <w:b w:val="0"/>
          <w:sz w:val="28"/>
        </w:rPr>
        <w:t>交割完成后，美丽田园面对的首要挑战是品牌定位的维持。据媒体报道，公司计划保持思妍丽品牌的独立运营，避免因品牌更换导致客户流失。这意味着维持原有管理团队、门店形象和服务标准，同时逐步在后台实现供应链、IT系统、财务体系的统一。这种双品牌策略在美容行业较为常见，但对管理层协调能力要求极高。思妍丽的客户群体对服务体验有较高期望，任何品牌调性变化都可能影响忠诚度。</w:t>
      </w:r>
    </w:p>
    <w:p>
      <w:pPr>
        <w:spacing w:before="0" w:after="0" w:line="240" w:lineRule="auto" w:beforeLines="0" w:afterLines="0"/>
        <w:jc w:val="both"/>
        <w:ind w:firstLineChars="200"/>
      </w:pPr>
      <w:r>
        <w:rPr>
          <w:rFonts w:ascii="Times New Roman" w:hAnsi="Times New Roman" w:eastAsia="仿宋" w:cs="Times New Roman"/>
          <w:b w:val="0"/>
          <w:sz w:val="28"/>
        </w:rPr>
        <w:t>客户资源的共享是协同效应的核心。美丽田园的会员系统覆盖数百万用户，思妍丽拥有数万高端活跃会员。交叉销售的机会在于思妍丽客户有更高比例的医美需求，而美丽田园的医美部门（如秀可儿）可以提供更丰富的服务。但客户隐私和数据合规问题是必须严格管理的环节，需要建立清晰的授权和流引规则。美丽田园在公开表态中强调将谨慎推进客户资源共享，以避免冲击现有客户关系。</w:t>
      </w:r>
    </w:p>
    <w:p>
      <w:pPr>
        <w:spacing w:before="0" w:after="0" w:line="240" w:lineRule="auto" w:beforeLines="0" w:afterLines="0"/>
        <w:jc w:val="both"/>
        <w:ind w:firstLineChars="200"/>
      </w:pPr>
      <w:r>
        <w:rPr>
          <w:rFonts w:ascii="Times New Roman" w:hAnsi="Times New Roman" w:eastAsia="仿宋" w:cs="Times New Roman"/>
          <w:b w:val="0"/>
          <w:sz w:val="28"/>
        </w:rPr>
        <w:t>供应链整合方面，两家公司均采购大量美容设备、护肤品、耗材等，整合采购量可带来成本降低的空间。据公开报道，美丽田园在完成收购后不久即公开招募下一批收购对象，表明公司计划通过持续整合加速行业集中。因此，本次并购后整合经验将直接影响后续交易的可复制性。组织融合层面，关键员工留任是并购后的重中之重。思妍丽的管理层和核心技师对门店运营至关重要。美丽田园需要设计合理的激励机制（如保留原薪酬体系或设置绩效奖金）来保持团队稳定。据媒体报道，美丽田园在以往整合中积累了人才保留经验，但此次交易规模更大，挑战也更大。</w:t>
      </w:r>
    </w:p>
    <w:p>
      <w:pPr>
        <w:spacing w:before="0" w:after="0" w:line="240" w:lineRule="auto" w:beforeLines="0" w:afterLines="0"/>
        <w:jc w:val="left"/>
        <w:ind w:firstLineChars="200"/>
      </w:pPr>
      <w:r>
        <w:rPr>
          <w:rFonts w:ascii="Times New Roman" w:hAnsi="Times New Roman" w:eastAsia="仿宋" w:cs="Times New Roman"/>
          <w:b/>
          <w:sz w:val="28"/>
        </w:rPr>
        <w:t>五、财务影响：营收跨越式增长、商誉承压与现金流平衡</w:t>
      </w:r>
    </w:p>
    <w:p>
      <w:pPr>
        <w:spacing w:before="0" w:after="0" w:line="240" w:lineRule="auto" w:beforeLines="0" w:afterLines="0"/>
        <w:jc w:val="both"/>
        <w:ind w:firstLineChars="200"/>
      </w:pPr>
      <w:r>
        <w:rPr>
          <w:rFonts w:ascii="Times New Roman" w:hAnsi="Times New Roman" w:eastAsia="仿宋" w:cs="Times New Roman"/>
          <w:b w:val="0"/>
          <w:sz w:val="28"/>
        </w:rPr>
        <w:t>收购完成后，美丽田园的合并营收规模将从约30亿元增至约35亿元，增幅约17%。但利润层面的影响取决于思妍丽的盈利能力。据市场分析，思妍丽的净利润率可能低于美丽田园，收购后整体净利率或有所下降。此外，本次并购产生的商誉约为交易对价减去可辨认净资产公允价值，推测商誉规模较大，未来需每年进行减值测试。若协同效应不及预期，商誉减值风险将拖累利润。</w:t>
      </w:r>
    </w:p>
    <w:p>
      <w:pPr>
        <w:spacing w:before="0" w:after="0" w:line="240" w:lineRule="auto" w:beforeLines="0" w:afterLines="0"/>
        <w:jc w:val="both"/>
        <w:ind w:firstLineChars="200"/>
      </w:pPr>
      <w:r>
        <w:rPr>
          <w:rFonts w:ascii="Times New Roman" w:hAnsi="Times New Roman" w:eastAsia="仿宋" w:cs="Times New Roman"/>
          <w:b w:val="0"/>
          <w:sz w:val="28"/>
        </w:rPr>
        <w:t>市场反应方面，中金公司发布研究报告，维持美丽田园</w:t>
      </w:r>
      <w:r>
        <w:rPr>
          <w:rFonts w:ascii="Times New Roman" w:hAnsi="Times New Roman" w:eastAsia="Times New Roman" w:cs="Times New Roman"/>
          <w:b w:val="0"/>
          <w:sz w:val="28"/>
        </w:rPr>
        <w:t>“</w:t>
      </w:r>
      <w:r>
        <w:rPr>
          <w:rFonts w:ascii="Times New Roman" w:hAnsi="Times New Roman" w:eastAsia="仿宋" w:cs="Times New Roman"/>
          <w:b w:val="0"/>
          <w:sz w:val="28"/>
        </w:rPr>
        <w:t>跑赢行业</w:t>
      </w:r>
      <w:r>
        <w:rPr>
          <w:rFonts w:ascii="Times New Roman" w:hAnsi="Times New Roman" w:eastAsia="Times New Roman" w:cs="Times New Roman"/>
          <w:b w:val="0"/>
          <w:sz w:val="28"/>
        </w:rPr>
        <w:t>”</w:t>
      </w:r>
      <w:r>
        <w:rPr>
          <w:rFonts w:ascii="Times New Roman" w:hAnsi="Times New Roman" w:eastAsia="仿宋" w:cs="Times New Roman"/>
          <w:b w:val="0"/>
          <w:sz w:val="28"/>
        </w:rPr>
        <w:t>评级，目标价42港元，表明机构对本次并购持谨慎乐观态度。股价在交易公告后有所波动但整体稳定，说明市场对交易逻辑有一定认可。但行业消费承压的背景下，后续财报能否体现协同效应，将决定市场信心。据中国美业公开数据，高端美容市场增速从2024年的约15%下降至2025年的约8%，整合后的运营效率提升显得尤为重要。</w:t>
      </w:r>
    </w:p>
    <w:p>
      <w:pPr>
        <w:spacing w:before="0" w:after="0" w:line="240" w:lineRule="auto" w:beforeLines="0" w:afterLines="0"/>
        <w:jc w:val="both"/>
        <w:ind w:firstLineChars="200"/>
      </w:pPr>
      <w:r>
        <w:rPr>
          <w:rFonts w:ascii="Times New Roman" w:hAnsi="Times New Roman" w:eastAsia="仿宋" w:cs="Times New Roman"/>
          <w:b w:val="0"/>
          <w:sz w:val="28"/>
        </w:rPr>
        <w:t>现金流层面，12.5亿元的现金支出对自由现金流产生较大压力。据公开资料，美丽田园2025年经营活动现金流净额充裕，但投资回收期仍需3至5年。协同效应的释放节奏将直接影响投资回报周期，因此每月运营数据的监测和阶段性复盘变得至关重要。美丽田园管理层在公开场合表示将重点监控门店层面的营收增长和成本节约情况，以确保整合达到预期。</w:t>
      </w:r>
    </w:p>
    <w:p>
      <w:pPr>
        <w:spacing w:before="0" w:after="0" w:line="240" w:lineRule="auto" w:beforeLines="0" w:afterLines="0"/>
        <w:jc w:val="both"/>
        <w:ind w:firstLineChars="200"/>
      </w:pPr>
      <w:r>
        <w:rPr>
          <w:rFonts w:ascii="Times New Roman" w:hAnsi="Times New Roman" w:eastAsia="仿宋" w:cs="Times New Roman"/>
          <w:b w:val="0"/>
          <w:sz w:val="28"/>
        </w:rPr>
        <w:t>围绕美丽田园收购思妍丽，公开资料能够直接复核的事实包括交易主体、进展状态和核心金额口径。收购方为美丽田园医疗健康，标的方或被整合方为思妍丽；交易状态为完成；交易金额或估值口径为12.5亿元。这些信息决定了复盘边界：交易评价不从主观判断出发，而从公告、交割文件、财务数据和双方披露的安排展开。</w:t>
      </w:r>
    </w:p>
    <w:p>
      <w:pPr>
        <w:spacing w:before="0" w:after="0" w:line="240" w:lineRule="auto" w:beforeLines="0" w:afterLines="0"/>
        <w:jc w:val="left"/>
        <w:ind w:firstLineChars="200"/>
      </w:pPr>
      <w:r>
        <w:rPr>
          <w:rFonts w:ascii="Times New Roman" w:hAnsi="Times New Roman" w:eastAsia="仿宋" w:cs="Times New Roman"/>
          <w:b/>
          <w:sz w:val="28"/>
        </w:rPr>
        <w:t>六、结语：美业横向整合的财务纪律与品牌运营保全</w:t>
      </w:r>
    </w:p>
    <w:p>
      <w:pPr>
        <w:spacing w:before="0" w:after="0" w:line="240" w:lineRule="auto" w:beforeLines="0" w:afterLines="0"/>
        <w:jc w:val="both"/>
        <w:ind w:firstLineChars="200"/>
      </w:pPr>
      <w:r>
        <w:rPr>
          <w:rFonts w:ascii="Times New Roman" w:hAnsi="Times New Roman" w:eastAsia="仿宋" w:cs="Times New Roman"/>
          <w:b w:val="0"/>
          <w:sz w:val="28"/>
        </w:rPr>
        <w:t>美丽田园收购思妍丽是美容连锁行业整合的典型案例，展示了以二级市场上市平台为依托，全现金收购同行业一级资产的操作路径。交易结构清晰：PS约2.5倍、全现金支付、无对赌安排。这种结构要求买方必须具备强健的资产负债表和明确的整合计划。</w:t>
      </w:r>
    </w:p>
    <w:p>
      <w:pPr>
        <w:spacing w:before="0" w:after="0" w:line="240" w:lineRule="auto" w:beforeLines="0" w:afterLines="0"/>
        <w:jc w:val="both"/>
        <w:ind w:firstLineChars="200"/>
      </w:pPr>
      <w:r>
        <w:rPr>
          <w:rFonts w:ascii="Times New Roman" w:hAnsi="Times New Roman" w:eastAsia="仿宋" w:cs="Times New Roman"/>
          <w:b w:val="0"/>
          <w:sz w:val="28"/>
        </w:rPr>
        <w:t>本次交易对同类并购的启示包括：并购前应验证标的客户黏性和品牌独立性，避免因整合过度导致核心资产流失。交易条款应锁定品牌运营自主权和关键员工留任机制，减少交割后人才流失风险。交割后应建立清晰的交叉销售体系和供应链合并计划，将协同效应量化为具体的KPI。此外，由于全现金收购消耗大量流动性，并购方应提前规划融资组合，合理控制负债率，保留再融资空间。美业整合的下一站，可能包括更多区域品牌和医疗美容机构的收购。美丽田园已经公开表示将继续寻找整合标的，但每一次收购都需独立评估资产质量，不能简单复用估值模型。只有将品牌、客户、管理和现金流四个维度有机结合，并购才能真正创造价值。</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