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广州市金钟汽车零件收购合肥楷驰汽车零部件有：协议转让与交割条件</w:t>
      </w:r>
    </w:p>
    <w:p>
      <w:pPr>
        <w:spacing w:before="0" w:after="0" w:line="240" w:lineRule="auto" w:beforeLines="0" w:afterLines="0"/>
        <w:jc w:val="both"/>
        <w:ind w:firstLineChars="200"/>
      </w:pPr>
      <w:r>
        <w:rPr>
          <w:rFonts w:ascii="Times New Roman" w:hAnsi="Times New Roman" w:eastAsia="仿宋" w:cs="Times New Roman"/>
          <w:b w:val="0"/>
          <w:sz w:val="28"/>
        </w:rPr>
        <w:t>本案例涉及广州市金钟汽车零件股份有限公司（下称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广州市金钟汽车零件</w:t>
      </w:r>
      <w:r>
        <w:rPr>
          <w:rFonts w:ascii="Times New Roman" w:hAnsi="Times New Roman" w:eastAsia="Times New Roman" w:cs="Times New Roman"/>
          <w:b w:val="0"/>
          <w:sz w:val="28"/>
        </w:rPr>
        <w:t>”</w:t>
      </w:r>
      <w:r>
        <w:rPr>
          <w:rFonts w:ascii="Times New Roman" w:hAnsi="Times New Roman" w:eastAsia="仿宋" w:cs="Times New Roman"/>
          <w:b w:val="0"/>
          <w:sz w:val="28"/>
        </w:rPr>
        <w:t>）收购合肥楷驰汽车零部件有限公司100%股权（下称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合肥楷驰汽车零部件100%股权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新设子公司购买资产完成交割暨签署股权转让协议之补充协议的公告》，目标线索为公开资料披露，公司董事会及临时股东会审议通过通过新设子公司作为实施主体，以人民币15,900.00万元收购楷驰100%股权，并以人民币2,500.00万元购买梦达驰截至2026年7月31日持有的全部固定资产；公告称承接梦达驰相关业务后，按当前在手订单测算2.59亿元（不构成业绩承诺），将为公司贡献一定收入增量。同一类资产整合的决策价值，很少体现在标的的行业标签上。</w:t>
      </w:r>
    </w:p>
    <w:p>
      <w:pPr>
        <w:spacing w:before="0" w:after="0" w:line="240" w:lineRule="auto" w:beforeLines="0" w:afterLines="0"/>
        <w:jc w:val="left"/>
        <w:ind w:firstLineChars="200"/>
      </w:pPr>
      <w:r>
        <w:rPr>
          <w:rFonts w:ascii="Times New Roman" w:hAnsi="Times New Roman" w:eastAsia="仿宋" w:cs="Times New Roman"/>
          <w:b/>
          <w:sz w:val="28"/>
        </w:rPr>
        <w:t>一、楷驰股权链条单层清晰，交易由董事会与股东会程序在四十三天内完成</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股权转让基准价格为人民币15,900.00万元，补充协议约定对该价格进行调整，但公开资料摘录未完整披露调整后总价；另以人民币2,500.00万元购买梦达驰汽车系统（安徽）有限公司截至2026年7月31日持有的全部固定资产；交易方式为股权受让及资产购买；公开资料摘录列示2.59亿元、51%、49%等数字；时；楷驰在交易前的股权链条只有一层：唯一股东为宁波德驰汽车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宁波德驰</w:t>
      </w:r>
      <w:r>
        <w:rPr>
          <w:rFonts w:ascii="Times New Roman" w:hAnsi="Times New Roman" w:eastAsia="Times New Roman" w:cs="Times New Roman"/>
          <w:b w:val="0"/>
          <w:sz w:val="28"/>
        </w:rPr>
        <w:t>”</w:t>
      </w:r>
      <w:r>
        <w:rPr>
          <w:rFonts w:ascii="Times New Roman" w:hAnsi="Times New Roman" w:eastAsia="仿宋" w:cs="Times New Roman"/>
          <w:b w:val="0"/>
          <w:sz w:val="28"/>
        </w:rPr>
        <w:t>），宁波德驰的控股股东华楷控股集团有限公司（下称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华楷控股</w:t>
      </w:r>
      <w:r>
        <w:rPr>
          <w:rFonts w:ascii="Times New Roman" w:hAnsi="Times New Roman" w:eastAsia="Times New Roman" w:cs="Times New Roman"/>
          <w:b w:val="0"/>
          <w:sz w:val="28"/>
        </w:rPr>
        <w:t>”</w:t>
      </w:r>
      <w:r>
        <w:rPr>
          <w:rFonts w:ascii="Times New Roman" w:hAnsi="Times New Roman" w:eastAsia="仿宋" w:cs="Times New Roman"/>
          <w:b w:val="0"/>
          <w:sz w:val="28"/>
        </w:rPr>
        <w:t>）以丙方身份进入《股权转让协议》；梦达驰的唯一股东为梦达驰汽车系统（苏州工业园区）有限公司（下称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苏州梦达驰</w:t>
      </w:r>
      <w:r>
        <w:rPr>
          <w:rFonts w:ascii="Times New Roman" w:hAnsi="Times New Roman" w:eastAsia="Times New Roman" w:cs="Times New Roman"/>
          <w:b w:val="0"/>
          <w:sz w:val="28"/>
        </w:rPr>
        <w:t>”</w:t>
      </w:r>
      <w:r>
        <w:rPr>
          <w:rFonts w:ascii="Times New Roman" w:hAnsi="Times New Roman" w:eastAsia="仿宋" w:cs="Times New Roman"/>
          <w:b w:val="0"/>
          <w:sz w:val="28"/>
        </w:rPr>
        <w:t>），梦达驰与该唯一股东共同签署《资产转让协议》。把上层控股股东列为协议方，使出让一侧多了一个签署主体，但公。</w:t>
      </w:r>
    </w:p>
    <w:p>
      <w:pPr>
        <w:spacing w:before="0" w:after="0" w:line="240" w:lineRule="auto" w:beforeLines="0" w:afterLines="0"/>
        <w:jc w:val="both"/>
        <w:ind w:firstLineChars="200"/>
      </w:pPr>
      <w:r>
        <w:rPr>
          <w:rFonts w:ascii="Times New Roman" w:hAnsi="Times New Roman" w:eastAsia="仿宋" w:cs="Times New Roman"/>
          <w:b w:val="0"/>
          <w:sz w:val="28"/>
        </w:rPr>
        <w:t>推进路径是上市公司治理程序，而非先签约后补程序：2026年8月31日董事会审议通过购买资产议案，同日完成两份协议签署；2026年9月2日以公告编号2026-055披露购买资产事项；2026年9月14日2026年第一次临时股东会审议通过；2026年10月8日以公告编号2026-063披露完成交割暨签署补充协议。董事会当日即完成两份协议签署，说明价格框架、资产范；披露边界需要明确：楷驰与梦达驰的营业收入、净利润、EBITDA、负债与现金流均未披露，人员规模、主要客户与产品线亦未披露；出让方接受该安排的主观原因未单独披露。可引用的客观安排只有条款本身——15,900.00万元的股权转让基准价格、补充协议约定的价格调整、调整后第二期转让价款12,323.31万元于交割后30个工作日内支付至乙方账户，以及已完成的过户与工商变更。案例研究只能在这一范围内建立判断。</w:t>
      </w:r>
    </w:p>
    <w:p>
      <w:pPr>
        <w:spacing w:before="0" w:after="0" w:line="240" w:lineRule="auto" w:beforeLines="0" w:afterLines="0"/>
        <w:jc w:val="left"/>
        <w:ind w:firstLineChars="200"/>
      </w:pPr>
      <w:r>
        <w:rPr>
          <w:rFonts w:ascii="Times New Roman" w:hAnsi="Times New Roman" w:eastAsia="仿宋" w:cs="Times New Roman"/>
          <w:b/>
          <w:sz w:val="28"/>
        </w:rPr>
        <w:t>二、51%与49%是同一控制下的两层持股，新设子公司承担的是实施主体而非合资平台</w:t>
      </w:r>
    </w:p>
    <w:p>
      <w:pPr>
        <w:spacing w:before="0" w:after="0" w:line="240" w:lineRule="auto" w:beforeLines="0" w:afterLines="0"/>
        <w:jc w:val="both"/>
        <w:ind w:firstLineChars="200"/>
      </w:pPr>
      <w:r>
        <w:rPr>
          <w:rFonts w:ascii="Times New Roman" w:hAnsi="Times New Roman" w:eastAsia="仿宋" w:cs="Times New Roman"/>
          <w:b w:val="0"/>
          <w:sz w:val="28"/>
        </w:rPr>
        <w:t>实施主体是新设子公司，其股权结构为金钟股份直接持股51%、通过全资子公司南通金钟汽车零件有限公司（下称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南通金钟</w:t>
      </w:r>
      <w:r>
        <w:rPr>
          <w:rFonts w:ascii="Times New Roman" w:hAnsi="Times New Roman" w:eastAsia="Times New Roman" w:cs="Times New Roman"/>
          <w:b w:val="0"/>
          <w:sz w:val="28"/>
        </w:rPr>
        <w:t>”</w:t>
      </w:r>
      <w:r>
        <w:rPr>
          <w:rFonts w:ascii="Times New Roman" w:hAnsi="Times New Roman" w:eastAsia="仿宋" w:cs="Times New Roman"/>
          <w:b w:val="0"/>
          <w:sz w:val="28"/>
        </w:rPr>
        <w:t>）间接持股49%，公告明确其系公司的全资子公司。51%与49%容易被误读为引入外部合作方的股权安排，实际是母公司直接持有与经由既有全资子公司间接持有的两层路径，两条路径合计100%，不存在少数股东。这一安排的结构意义有三点可观察：其一，收购主体独。</w:t>
      </w:r>
    </w:p>
    <w:p>
      <w:pPr>
        <w:spacing w:before="0" w:after="0" w:line="240" w:lineRule="auto" w:beforeLines="0" w:afterLines="0"/>
        <w:jc w:val="both"/>
        <w:ind w:firstLineChars="200"/>
      </w:pPr>
      <w:r>
        <w:rPr>
          <w:rFonts w:ascii="Times New Roman" w:hAnsi="Times New Roman" w:eastAsia="仿宋" w:cs="Times New Roman"/>
          <w:b w:val="0"/>
          <w:sz w:val="28"/>
        </w:rPr>
        <w:t>从治理层级看，新设子公司承接股权与固定资产后，形成</w:t>
      </w:r>
      <w:r>
        <w:rPr>
          <w:rFonts w:ascii="Times New Roman" w:hAnsi="Times New Roman" w:eastAsia="Times New Roman" w:cs="Times New Roman"/>
          <w:b w:val="0"/>
          <w:sz w:val="28"/>
        </w:rPr>
        <w:t>“</w:t>
      </w:r>
      <w:r>
        <w:rPr>
          <w:rFonts w:ascii="Times New Roman" w:hAnsi="Times New Roman" w:eastAsia="仿宋" w:cs="Times New Roman"/>
          <w:b w:val="0"/>
          <w:sz w:val="28"/>
        </w:rPr>
        <w:t>上市公司—新设子公司—楷驰</w:t>
      </w:r>
      <w:r>
        <w:rPr>
          <w:rFonts w:ascii="Times New Roman" w:hAnsi="Times New Roman" w:eastAsia="Times New Roman" w:cs="Times New Roman"/>
          <w:b w:val="0"/>
          <w:sz w:val="28"/>
        </w:rPr>
        <w:t>”</w:t>
      </w:r>
      <w:r>
        <w:rPr>
          <w:rFonts w:ascii="Times New Roman" w:hAnsi="Times New Roman" w:eastAsia="仿宋" w:cs="Times New Roman"/>
          <w:b w:val="0"/>
          <w:sz w:val="28"/>
        </w:rPr>
        <w:t>的三层结构，固定资产与股权处于同一控制链条内，便于后续把梦达驰相关业务与楷驰的经营主体放在同一管理口径下考核。但公告未披露新设子公司的董事会构成、管理层委派与授权体系，也未披露楷驰原管理团队是否留任，治理边界只能停在持股关系层面。控制权与并表路径是本案可以确认的，管理层承接与决策权限的分配则属于未披露事项。</w:t>
      </w:r>
    </w:p>
    <w:p>
      <w:pPr>
        <w:spacing w:before="0" w:after="0" w:line="240" w:lineRule="auto" w:beforeLines="0" w:afterLines="0"/>
        <w:jc w:val="left"/>
        <w:ind w:firstLineChars="200"/>
      </w:pPr>
      <w:r>
        <w:rPr>
          <w:rFonts w:ascii="Times New Roman" w:hAnsi="Times New Roman" w:eastAsia="仿宋" w:cs="Times New Roman"/>
          <w:b/>
          <w:sz w:val="28"/>
        </w:rPr>
        <w:t>三、股权与固定资产分列两份协议，负债承接与业务承接的边界并不对称</w:t>
      </w:r>
    </w:p>
    <w:p>
      <w:pPr>
        <w:spacing w:before="0" w:after="0" w:line="240" w:lineRule="auto" w:beforeLines="0" w:afterLines="0"/>
        <w:jc w:val="both"/>
        <w:ind w:firstLineChars="200"/>
      </w:pPr>
      <w:r>
        <w:rPr>
          <w:rFonts w:ascii="Times New Roman" w:hAnsi="Times New Roman" w:eastAsia="仿宋" w:cs="Times New Roman"/>
          <w:b w:val="0"/>
          <w:sz w:val="28"/>
        </w:rPr>
        <w:t>交易把权利取得拆成两份协议。股权一侧，甲方为金钟股份、乙方为宁波德驰、丙方为华楷控股，标的为楷驰100%股权，基准价格15,900.00万元；资产一侧，金钟股份与梦达驰及其唯一股东苏州梦达驰签署《资产转让协议》，购买梦达驰截至2026年7月31日持有的全部固定资产，作价2,500.00万元。固定资产购买设有明确基准日，资产范围被时点固定；股权收购则概括承接公。</w:t>
      </w:r>
    </w:p>
    <w:p>
      <w:pPr>
        <w:spacing w:before="0" w:after="0" w:line="240" w:lineRule="auto" w:beforeLines="0" w:afterLines="0"/>
        <w:jc w:val="both"/>
        <w:ind w:firstLineChars="200"/>
      </w:pPr>
      <w:r>
        <w:rPr>
          <w:rFonts w:ascii="Times New Roman" w:hAnsi="Times New Roman" w:eastAsia="仿宋" w:cs="Times New Roman"/>
          <w:b w:val="0"/>
          <w:sz w:val="28"/>
        </w:rPr>
        <w:t>两类协议的法律与经济后果不同，这是本案结构上最值得记录的一点。股权受让使收购方概括承受标的公司的资产、负债与或有责任，价款对应的是持续经营主体的整体价值；固定资产购买只取得特定时点列明的设备类资产，不承接出售方的历史负债，但也不自动取得与资产配套的客户合同、人员与资质。金钟股份同时走两条路径，客观上把</w:t>
      </w:r>
      <w:r>
        <w:rPr>
          <w:rFonts w:ascii="Times New Roman" w:hAnsi="Times New Roman" w:eastAsia="Times New Roman" w:cs="Times New Roman"/>
          <w:b w:val="0"/>
          <w:sz w:val="28"/>
        </w:rPr>
        <w:t>“</w:t>
      </w:r>
      <w:r>
        <w:rPr>
          <w:rFonts w:ascii="Times New Roman" w:hAnsi="Times New Roman" w:eastAsia="仿宋" w:cs="Times New Roman"/>
          <w:b w:val="0"/>
          <w:sz w:val="28"/>
        </w:rPr>
        <w:t>取得经营主体</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取得生产资料</w:t>
      </w:r>
      <w:r>
        <w:rPr>
          <w:rFonts w:ascii="Times New Roman" w:hAnsi="Times New Roman" w:eastAsia="Times New Roman" w:cs="Times New Roman"/>
          <w:b w:val="0"/>
          <w:sz w:val="28"/>
        </w:rPr>
        <w:t>”</w:t>
      </w:r>
      <w:r>
        <w:rPr>
          <w:rFonts w:ascii="Times New Roman" w:hAnsi="Times New Roman" w:eastAsia="仿宋" w:cs="Times New Roman"/>
          <w:b w:val="0"/>
          <w:sz w:val="28"/>
        </w:rPr>
        <w:t>分开定价、分开交割、分开。</w:t>
      </w:r>
    </w:p>
    <w:p>
      <w:pPr>
        <w:spacing w:before="0" w:after="0" w:line="240" w:lineRule="auto" w:beforeLines="0" w:afterLines="0"/>
        <w:jc w:val="both"/>
        <w:ind w:firstLineChars="200"/>
      </w:pPr>
      <w:r>
        <w:rPr>
          <w:rFonts w:ascii="Times New Roman" w:hAnsi="Times New Roman" w:eastAsia="仿宋" w:cs="Times New Roman"/>
          <w:b w:val="0"/>
          <w:sz w:val="28"/>
        </w:rPr>
        <w:t>产业层面的判断必须克制。公开资料未披露楷驰与梦达驰的产品线、主要客户、产能利用率与在供项目，无法评估客户重叠度、产能互补性或区域配套价值；把本案称为汽车零部件同业整合，依据仅是主体名称与交易分类。</w:t>
      </w:r>
    </w:p>
    <w:p>
      <w:pPr>
        <w:spacing w:before="0" w:after="0" w:line="240" w:lineRule="auto" w:beforeLines="0" w:afterLines="0"/>
        <w:jc w:val="left"/>
        <w:ind w:firstLineChars="200"/>
      </w:pPr>
      <w:r>
        <w:rPr>
          <w:rFonts w:ascii="Times New Roman" w:hAnsi="Times New Roman" w:eastAsia="仿宋" w:cs="Times New Roman"/>
          <w:b/>
          <w:sz w:val="28"/>
        </w:rPr>
        <w:t>四、基准价可调、第二期12,323.31万元后置，价款条件替代了业绩对赌</w:t>
      </w:r>
    </w:p>
    <w:p>
      <w:pPr>
        <w:spacing w:before="0" w:after="0" w:line="240" w:lineRule="auto" w:beforeLines="0" w:afterLines="0"/>
        <w:jc w:val="both"/>
        <w:ind w:firstLineChars="200"/>
      </w:pPr>
      <w:r>
        <w:rPr>
          <w:rFonts w:ascii="Times New Roman" w:hAnsi="Times New Roman" w:eastAsia="仿宋" w:cs="Times New Roman"/>
          <w:b w:val="0"/>
          <w:sz w:val="28"/>
        </w:rPr>
        <w:t>15,900.00万元在公告中的准确表述是</w:t>
      </w:r>
      <w:r>
        <w:rPr>
          <w:rFonts w:ascii="Times New Roman" w:hAnsi="Times New Roman" w:eastAsia="Times New Roman" w:cs="Times New Roman"/>
          <w:b w:val="0"/>
          <w:sz w:val="28"/>
        </w:rPr>
        <w:t>“</w:t>
      </w:r>
      <w:r>
        <w:rPr>
          <w:rFonts w:ascii="Times New Roman" w:hAnsi="Times New Roman" w:eastAsia="仿宋" w:cs="Times New Roman"/>
          <w:b w:val="0"/>
          <w:sz w:val="28"/>
        </w:rPr>
        <w:t>股权转让基准价格</w:t>
      </w:r>
      <w:r>
        <w:rPr>
          <w:rFonts w:ascii="Times New Roman" w:hAnsi="Times New Roman" w:eastAsia="Times New Roman" w:cs="Times New Roman"/>
          <w:b w:val="0"/>
          <w:sz w:val="28"/>
        </w:rPr>
        <w:t>”</w:t>
      </w:r>
      <w:r>
        <w:rPr>
          <w:rFonts w:ascii="Times New Roman" w:hAnsi="Times New Roman" w:eastAsia="仿宋" w:cs="Times New Roman"/>
          <w:b w:val="0"/>
          <w:sz w:val="28"/>
        </w:rPr>
        <w:t>，补充协议明确对该价格进行调整，调整后第二期转让价款应支付12,323.31万元，于交割日后30个工作日内支付至乙方银行账户。基准价可调、且调整结果在交割阶段才以补充协议固定，说明定价并非一次性确定，而留出了依据交割时点事实修正的空间。但公告未披露调整的触发条件、计算参数与调整方向，也未披露调整后。</w:t>
      </w:r>
    </w:p>
    <w:p>
      <w:pPr>
        <w:spacing w:before="0" w:after="0" w:line="240" w:lineRule="auto" w:beforeLines="0" w:afterLines="0"/>
        <w:jc w:val="both"/>
        <w:ind w:firstLineChars="200"/>
      </w:pPr>
      <w:r>
        <w:rPr>
          <w:rFonts w:ascii="Times New Roman" w:hAnsi="Times New Roman" w:eastAsia="仿宋" w:cs="Times New Roman"/>
          <w:b w:val="0"/>
          <w:sz w:val="28"/>
        </w:rPr>
        <w:t>支付节奏是本案对出让方最实质的约束。按公告口径，调整后的第二期转让价款12,323.31万元与15,900.00万元的基准价格处于同一量级，说明相当部分价款在交割之后才支付，出让方在完成过户后仍持有较大的价款请求权，其配合交割、配合工商变更与资料移交的动机由此被价款支付节点绑定。与之相对，公告未披露是否设置业绩承诺、补偿安排、股权质押或分期付款担保，也未披露。</w:t>
      </w:r>
    </w:p>
    <w:p>
      <w:pPr>
        <w:spacing w:before="0" w:after="0" w:line="240" w:lineRule="auto" w:beforeLines="0" w:afterLines="0"/>
        <w:jc w:val="left"/>
        <w:ind w:firstLineChars="200"/>
      </w:pPr>
      <w:r>
        <w:rPr>
          <w:rFonts w:ascii="Times New Roman" w:hAnsi="Times New Roman" w:eastAsia="仿宋" w:cs="Times New Roman"/>
          <w:b/>
          <w:sz w:val="28"/>
        </w:rPr>
        <w:t>五、交割以过户、章程修订、工商变更与更名落地，业务承接缺少同等级验证</w:t>
      </w:r>
    </w:p>
    <w:p>
      <w:pPr>
        <w:spacing w:before="0" w:after="0" w:line="240" w:lineRule="auto" w:beforeLines="0" w:afterLines="0"/>
        <w:jc w:val="both"/>
        <w:ind w:firstLineChars="200"/>
      </w:pPr>
      <w:r>
        <w:rPr>
          <w:rFonts w:ascii="Times New Roman" w:hAnsi="Times New Roman" w:eastAsia="仿宋" w:cs="Times New Roman"/>
          <w:b w:val="0"/>
          <w:sz w:val="28"/>
        </w:rPr>
        <w:t>交割公告给出的完成标志是一组可核验的事实：截至公告披露日，《股权转让协议》约定的交割先决条件已全部满足，楷驰股权过户手续办理完毕，相应章程修订及工商变更登记手续均已完成，标的已更名为合肥金钟汽车零部件有限公司；梦达驰固定资产已满足《资产转让协议》约定的交割条件，相关交割手续已办理完毕。更名是这批事实中最具信息量的一项，它表明标的在股权与章程层面已纳入金钟股份的品牌与治理体系，而非仅完成股东名册变更。</w:t>
      </w:r>
    </w:p>
    <w:p>
      <w:pPr>
        <w:spacing w:before="0" w:after="0" w:line="240" w:lineRule="auto" w:beforeLines="0" w:afterLines="0"/>
        <w:jc w:val="both"/>
        <w:ind w:firstLineChars="200"/>
      </w:pPr>
      <w:r>
        <w:rPr>
          <w:rFonts w:ascii="Times New Roman" w:hAnsi="Times New Roman" w:eastAsia="仿宋" w:cs="Times New Roman"/>
          <w:b w:val="0"/>
          <w:sz w:val="28"/>
        </w:rPr>
        <w:t>从交易管理角度看，本案的交割清单可以分成三层：权利层，即股权过户与固定资产交割；组织层，即章程修订、工商变更与更名；业务层，即梦达驰相关业务承接。前两层在公告中均有明确表述，业务层只有一句概括性说明，即承接相关业务后将为公司贡献一定收入增量。这种不对称在同类资产整合中很常见：股权与资产的权属转移有登记与工商程序背书，业务承接则依赖客户同意、合同重签与人员到位。</w:t>
      </w:r>
    </w:p>
    <w:p>
      <w:pPr>
        <w:spacing w:before="0" w:after="0" w:line="240" w:lineRule="auto" w:beforeLines="0" w:afterLines="0"/>
        <w:jc w:val="left"/>
        <w:ind w:firstLineChars="200"/>
      </w:pPr>
      <w:r>
        <w:rPr>
          <w:rFonts w:ascii="Times New Roman" w:hAnsi="Times New Roman" w:eastAsia="仿宋" w:cs="Times New Roman"/>
          <w:b/>
          <w:sz w:val="28"/>
        </w:rPr>
        <w:t>六、2.59亿元属在手订单测算，可验证性止于订单转化</w:t>
      </w:r>
    </w:p>
    <w:p>
      <w:pPr>
        <w:spacing w:before="0" w:after="0" w:line="240" w:lineRule="auto" w:beforeLines="0" w:afterLines="0"/>
        <w:jc w:val="both"/>
        <w:ind w:firstLineChars="200"/>
      </w:pPr>
      <w:r>
        <w:rPr>
          <w:rFonts w:ascii="Times New Roman" w:hAnsi="Times New Roman" w:eastAsia="仿宋" w:cs="Times New Roman"/>
          <w:b w:val="0"/>
          <w:sz w:val="28"/>
        </w:rPr>
        <w:t>公告披露，承接梦达驰相关业务后，依据当前在手订单测算为2.59亿元，并明确</w:t>
      </w:r>
      <w:r>
        <w:rPr>
          <w:rFonts w:ascii="Times New Roman" w:hAnsi="Times New Roman" w:eastAsia="Times New Roman" w:cs="Times New Roman"/>
          <w:b w:val="0"/>
          <w:sz w:val="28"/>
        </w:rPr>
        <w:t>“</w:t>
      </w:r>
      <w:r>
        <w:rPr>
          <w:rFonts w:ascii="Times New Roman" w:hAnsi="Times New Roman" w:eastAsia="仿宋" w:cs="Times New Roman"/>
          <w:b w:val="0"/>
          <w:sz w:val="28"/>
        </w:rPr>
        <w:t>不构成业绩承诺</w:t>
      </w:r>
      <w:r>
        <w:rPr>
          <w:rFonts w:ascii="Times New Roman" w:hAnsi="Times New Roman" w:eastAsia="Times New Roman" w:cs="Times New Roman"/>
          <w:b w:val="0"/>
          <w:sz w:val="28"/>
        </w:rPr>
        <w:t>”</w:t>
      </w:r>
      <w:r>
        <w:rPr>
          <w:rFonts w:ascii="Times New Roman" w:hAnsi="Times New Roman" w:eastAsia="仿宋" w:cs="Times New Roman"/>
          <w:b w:val="0"/>
          <w:sz w:val="28"/>
        </w:rPr>
        <w:t>。这一表述包含三层限定：数据来源是在手订单而非历史收入或盈利预测；测算对象是相关业务而非标的公司整体；法律效果上不构成业绩承诺，即不产生未达标补偿义务。三者叠加意味着2.59亿元不能被读作未来收入，更不能被读作利润，或作为15,900.00万元定价的估值支撑。</w:t>
      </w:r>
    </w:p>
    <w:p>
      <w:pPr>
        <w:spacing w:before="0" w:after="0" w:line="240" w:lineRule="auto" w:beforeLines="0" w:afterLines="0"/>
        <w:jc w:val="both"/>
        <w:ind w:firstLineChars="200"/>
      </w:pPr>
      <w:r>
        <w:rPr>
          <w:rFonts w:ascii="Times New Roman" w:hAnsi="Times New Roman" w:eastAsia="仿宋" w:cs="Times New Roman"/>
          <w:b w:val="0"/>
          <w:sz w:val="28"/>
        </w:rPr>
        <w:t>这一披露边界决定了可验证的对象。15,900.00万元与2,500.00万元合计18,400.00万元现金流出，而公开资料未披露标的的营收、净利润与净资产，也未披露在手订单的客户集中度、交付周期与毛利水平，因此无法计算市盈率、市净率或订单覆盖率等常用校验指标；唯一可跟踪的量化线索是2.59亿元在手订单向收入转化的进度，且该转化受客户排产、验收节奏与合同主体变。</w:t>
      </w:r>
    </w:p>
    <w:p>
      <w:pPr>
        <w:spacing w:before="0" w:after="0" w:line="240" w:lineRule="auto" w:beforeLines="0" w:afterLines="0"/>
        <w:jc w:val="left"/>
        <w:ind w:firstLineChars="200"/>
      </w:pPr>
      <w:r>
        <w:rPr>
          <w:rFonts w:ascii="Times New Roman" w:hAnsi="Times New Roman" w:eastAsia="仿宋" w:cs="Times New Roman"/>
          <w:b/>
          <w:sz w:val="28"/>
        </w:rPr>
        <w:t>七、结语：协议转让与交割条件的核验方法</w:t>
      </w:r>
    </w:p>
    <w:p>
      <w:pPr>
        <w:spacing w:before="0" w:after="0" w:line="240" w:lineRule="auto" w:beforeLines="0" w:afterLines="0"/>
        <w:jc w:val="both"/>
        <w:ind w:firstLineChars="200"/>
      </w:pPr>
      <w:r>
        <w:rPr>
          <w:rFonts w:ascii="Times New Roman" w:hAnsi="Times New Roman" w:eastAsia="仿宋" w:cs="Times New Roman"/>
          <w:b w:val="0"/>
          <w:sz w:val="28"/>
        </w:rPr>
        <w:t>回到广州市金钟汽车零件与合肥楷驰汽车零部件有，本案的方法论意义不在于把交易结果写成通用并购总结，而在于把股权转让基准价格为人民币15,900.00万元，补充协议约定对该价格进行调整，但公开资料摘录未完整披露调整后总价；另以人民币2,500.00万元购买梦达驰汽车系统（安徽）有限公司截至2026年7月31日持有的全部固定资产；交易方式为股权受让及资产购买；公开资料摘录列示2.59亿元、51%、49%等数字、15,900.00万元（股权转让基准价格）；100%（楷驰股权收购比例）；2,500.00万元（购买梦达驰固定资产金额）；2.59亿元（依据当前在手订单测算，不构成业绩承诺）、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广州市金钟汽车零件而言，关键是交割承接和整合节奏能否与已披露安排匹配；对合肥楷驰汽车零部件有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