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浙江帅丰电器收购杭州惠嘉信息科技有限：现金支付与业务承接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本案例涉及浙江帅丰电器股份有限公司（下称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浙江帅丰电器</w:t>
      </w:r>
      <w:r>
        <w:rPr>
          <w:rFonts w:ascii="Times New Roman" w:hAnsi="Times New Roman" w:eastAsia="Times New Roman" w:cs="Times New Roman"/>
          <w:b w:val="0"/>
          <w:sz w:val="28"/>
        </w:rPr>
        <w:t>”</w:t>
      </w:r>
      <w:r>
        <w:rPr>
          <w:rFonts w:ascii="Times New Roman" w:hAnsi="Times New Roman" w:eastAsia="仿宋" w:cs="Times New Roman"/>
          <w:b w:val="0"/>
          <w:sz w:val="28"/>
        </w:rPr>
        <w:t>）收购杭州惠嘉信息科技有限公司100%股权（下称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杭州惠嘉信息科技100%股权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重大资产重组标的资产完成过户及工商变更登记的公告》，目标线索为公开资料未单独披露战略动机；公告披露的交易安排为：上市公司以支付现金方式向李连强、斯应昌购买其合计持有的惠嘉科技100%股权；交易采用现金方式，不涉及发行股份，不构成关联交易，不构成重组上市，不会导致公司控股股东和实际控制人发生变更。。2026年6月25日，浙江帅丰电器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*ST帅电</w:t>
      </w:r>
      <w:r>
        <w:rPr>
          <w:rFonts w:ascii="Times New Roman" w:hAnsi="Times New Roman" w:eastAsia="Times New Roman" w:cs="Times New Roman"/>
          <w:b w:val="0"/>
          <w:sz w:val="28"/>
        </w:rPr>
        <w:t>”</w:t>
      </w:r>
      <w:r>
        <w:rPr>
          <w:rFonts w:ascii="Times New Roman" w:hAnsi="Times New Roman" w:eastAsia="仿宋" w:cs="Times New Roman"/>
          <w:b w:val="0"/>
          <w:sz w:val="28"/>
        </w:rPr>
        <w:t>，证券代码：605336）召开第三届董事会第二十二次会议，审议通过意向收购杭州惠嘉信息科技有限公司（下称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惠嘉科技</w:t>
      </w:r>
      <w:r>
        <w:rPr>
          <w:rFonts w:ascii="Times New Roman" w:hAnsi="Times New Roman" w:eastAsia="Times New Roman" w:cs="Times New Roman"/>
          <w:b w:val="0"/>
          <w:sz w:val="28"/>
        </w:rPr>
        <w:t>”</w:t>
      </w:r>
      <w:r>
        <w:rPr>
          <w:rFonts w:ascii="Times New Roman" w:hAnsi="Times New Roman" w:eastAsia="仿宋" w:cs="Times New Roman"/>
          <w:b w:val="0"/>
          <w:sz w:val="28"/>
        </w:rPr>
        <w:t>）股权并签署《意向协议》的议案；同日，公司与惠嘉科技股东李连强、斯应昌签署《意向协议》，拟以支付现金方式收购其合计持有的惠嘉科技100%股权。8月7日，董事会第二十四次会议审议通过《重大资产购买报告书（草案）》；8月18日，公司收到上海证券交易所上证公函【2026】1395号信息披露问询函；9月14日，董事会第二十六次会议审议通过修订草案并提请召开临时股东会；10月8日，2026年第二次临时股东会审议通过重组方案及附条件生效的交易协议；10月10日，公司公告标的资产完成过户及工商变更登记。</w:t>
      </w:r>
    </w:p>
    <w:p>
      <w:pPr>
        <w:spacing w:before="0" w:after="0" w:line="240" w:lineRule="auto" w:beforeLines="0" w:afterLines="0"/>
        <w:jc w:val="left"/>
        <w:ind w:firstLineChars="200"/>
      </w:pPr>
      <w:r>
        <w:rPr>
          <w:rFonts w:ascii="Times New Roman" w:hAnsi="Times New Roman" w:eastAsia="仿宋" w:cs="Times New Roman"/>
          <w:b/>
          <w:sz w:val="28"/>
        </w:rPr>
        <w:t>一、交易起点：筹划披露先行，董事会决议锁定意向协议</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事实披露边界上，本案可引用的交易对价、估值或支付口径为21,320万元；现金支付；分五期支付；收购惠嘉科技100%股权；时间线包括{</w:t>
      </w:r>
      <w:r>
        <w:rPr>
          <w:rFonts w:ascii="Times New Roman" w:hAnsi="Times New Roman" w:eastAsia="Times New Roman" w:cs="Times New Roman"/>
          <w:b w:val="0"/>
          <w:sz w:val="28"/>
        </w:rPr>
        <w:t>‘</w:t>
      </w:r>
      <w:r>
        <w:rPr>
          <w:rFonts w:ascii="Times New Roman" w:hAnsi="Times New Roman" w:eastAsia="仿宋" w:cs="Times New Roman"/>
          <w:b w:val="0"/>
          <w:sz w:val="28"/>
        </w:rPr>
        <w:t>date</w:t>
      </w:r>
      <w:r>
        <w:rPr>
          <w:rFonts w:ascii="Times New Roman" w:hAnsi="Times New Roman" w:eastAsia="Times New Roman" w:cs="Times New Roman"/>
          <w:b w:val="0"/>
          <w:sz w:val="28"/>
        </w:rPr>
        <w:t>’</w:t>
      </w:r>
      <w:r>
        <w:rPr>
          <w:rFonts w:ascii="Times New Roman" w:hAnsi="Times New Roman" w:eastAsia="仿宋" w:cs="Times New Roman"/>
          <w:b w:val="0"/>
          <w:sz w:val="28"/>
        </w:rPr>
        <w:t xml:space="preserve">: </w:t>
      </w:r>
      <w:r>
        <w:rPr>
          <w:rFonts w:ascii="Times New Roman" w:hAnsi="Times New Roman" w:eastAsia="Times New Roman" w:cs="Times New Roman"/>
          <w:b w:val="0"/>
          <w:sz w:val="28"/>
        </w:rPr>
        <w:t>‘</w:t>
      </w:r>
      <w:r>
        <w:rPr>
          <w:rFonts w:ascii="Times New Roman" w:hAnsi="Times New Roman" w:eastAsia="仿宋" w:cs="Times New Roman"/>
          <w:b w:val="0"/>
          <w:sz w:val="28"/>
        </w:rPr>
        <w:t>2026-06-25</w:t>
      </w:r>
      <w:r>
        <w:rPr>
          <w:rFonts w:ascii="Times New Roman" w:hAnsi="Times New Roman" w:eastAsia="Times New Roman" w:cs="Times New Roman"/>
          <w:b w:val="0"/>
          <w:sz w:val="28"/>
        </w:rPr>
        <w:t>’</w:t>
      </w:r>
      <w:r>
        <w:rPr>
          <w:rFonts w:ascii="Times New Roman" w:hAnsi="Times New Roman" w:eastAsia="仿宋" w:cs="Times New Roman"/>
          <w:b w:val="0"/>
          <w:sz w:val="28"/>
        </w:rPr>
        <w:t xml:space="preserve">, </w:t>
      </w:r>
      <w:r>
        <w:rPr>
          <w:rFonts w:ascii="Times New Roman" w:hAnsi="Times New Roman" w:eastAsia="Times New Roman" w:cs="Times New Roman"/>
          <w:b w:val="0"/>
          <w:sz w:val="28"/>
        </w:rPr>
        <w:t>‘</w:t>
      </w:r>
      <w:r>
        <w:rPr>
          <w:rFonts w:ascii="Times New Roman" w:hAnsi="Times New Roman" w:eastAsia="仿宋" w:cs="Times New Roman"/>
          <w:b w:val="0"/>
          <w:sz w:val="28"/>
        </w:rPr>
        <w:t>event</w:t>
      </w:r>
      <w:r>
        <w:rPr>
          <w:rFonts w:ascii="Times New Roman" w:hAnsi="Times New Roman" w:eastAsia="Times New Roman" w:cs="Times New Roman"/>
          <w:b w:val="0"/>
          <w:sz w:val="28"/>
        </w:rPr>
        <w:t>’</w:t>
      </w:r>
      <w:r>
        <w:rPr>
          <w:rFonts w:ascii="Times New Roman" w:hAnsi="Times New Roman" w:eastAsia="仿宋" w:cs="Times New Roman"/>
          <w:b w:val="0"/>
          <w:sz w:val="28"/>
        </w:rPr>
        <w:t xml:space="preserve">: </w:t>
      </w:r>
      <w:r>
        <w:rPr>
          <w:rFonts w:ascii="Times New Roman" w:hAnsi="Times New Roman" w:eastAsia="Times New Roman" w:cs="Times New Roman"/>
          <w:b w:val="0"/>
          <w:sz w:val="28"/>
        </w:rPr>
        <w:t>‘</w:t>
      </w:r>
      <w:r>
        <w:rPr>
          <w:rFonts w:ascii="Times New Roman" w:hAnsi="Times New Roman" w:eastAsia="仿宋" w:cs="Times New Roman"/>
          <w:b w:val="0"/>
          <w:sz w:val="28"/>
        </w:rPr>
        <w:t>公司召开第三届董事会第二十二次会议，审议通过意向收购惠嘉科技股权并签署《收购意向协议》的议案；同日与李连强、斯应昌签署《意向协议》，拟以现金收购惠嘉科技100%股权。</w:t>
      </w:r>
    </w:p>
    <w:p>
      <w:pPr>
        <w:spacing w:before="0" w:after="0" w:line="240" w:lineRule="auto" w:beforeLines="0" w:afterLines="0"/>
        <w:jc w:val="both"/>
        <w:ind w:firstLineChars="200"/>
      </w:pPr>
      <w:r>
        <w:rPr>
          <w:rFonts w:ascii="Times New Roman" w:hAnsi="Times New Roman" w:eastAsia="仿宋" w:cs="Times New Roman"/>
          <w:b w:val="0"/>
          <w:sz w:val="28"/>
        </w:rPr>
        <w:t>交易的前因在公开资料中只展开到程序层面。事实包未披露*ST帅电交易前的股权结构、业务构成、经营与财务状况，也未披露其被实施风险警示的具体成因；惠嘉科技除李连强、斯应昌两名自然人股东外，主营业务、资产与财务数据同样未披露。可确认的起点是：公司此前已就筹划本次重大资产重组并签署《意向协议》发布提示性公告（公告编号：2026-022，具体披露日期事实包未载明）；2。</w:t>
      </w:r>
    </w:p>
    <w:p>
      <w:pPr>
        <w:spacing w:before="0" w:after="0" w:line="240" w:lineRule="auto" w:beforeLines="0" w:afterLines="0"/>
        <w:jc w:val="both"/>
        <w:ind w:firstLineChars="200"/>
      </w:pPr>
      <w:r>
        <w:rPr>
          <w:rFonts w:ascii="Times New Roman" w:hAnsi="Times New Roman" w:eastAsia="仿宋" w:cs="Times New Roman"/>
          <w:b w:val="0"/>
          <w:sz w:val="28"/>
        </w:rPr>
        <w:t>意向协议锁定交易对方、标的范围和支付方式，但本身不构成终局。6月25日公告同时载明，待相关工作完成后，董事会将在交易具备股东会审议条件时另行召集股东会。这一表述把后续程序拆成两步：先由董事会完成草案和披露，再由股东会审议。对*ST帅电而言，21,320万元现金对价、100%股权收购和</w:t>
      </w:r>
      <w:r>
        <w:rPr>
          <w:rFonts w:ascii="Times New Roman" w:hAnsi="Times New Roman" w:eastAsia="Times New Roman" w:cs="Times New Roman"/>
          <w:b w:val="0"/>
          <w:sz w:val="28"/>
        </w:rPr>
        <w:t>“</w:t>
      </w:r>
      <w:r>
        <w:rPr>
          <w:rFonts w:ascii="Times New Roman" w:hAnsi="Times New Roman" w:eastAsia="仿宋" w:cs="Times New Roman"/>
          <w:b w:val="0"/>
          <w:sz w:val="28"/>
        </w:rPr>
        <w:t>不发行股份</w:t>
      </w:r>
      <w:r>
        <w:rPr>
          <w:rFonts w:ascii="Times New Roman" w:hAnsi="Times New Roman" w:eastAsia="Times New Roman" w:cs="Times New Roman"/>
          <w:b w:val="0"/>
          <w:sz w:val="28"/>
        </w:rPr>
        <w:t>”</w:t>
      </w:r>
      <w:r>
        <w:rPr>
          <w:rFonts w:ascii="Times New Roman" w:hAnsi="Times New Roman" w:eastAsia="仿宋" w:cs="Times New Roman"/>
          <w:b w:val="0"/>
          <w:sz w:val="28"/>
        </w:rPr>
        <w:t>的组合，使交易不必经过发行股份购买资产的审核路径，但仍是重大资。</w:t>
      </w:r>
    </w:p>
    <w:p>
      <w:pPr>
        <w:spacing w:before="0" w:after="0" w:line="240" w:lineRule="auto" w:beforeLines="0" w:afterLines="0"/>
        <w:jc w:val="left"/>
        <w:ind w:firstLineChars="200"/>
      </w:pPr>
      <w:r>
        <w:rPr>
          <w:rFonts w:ascii="Times New Roman" w:hAnsi="Times New Roman" w:eastAsia="仿宋" w:cs="Times New Roman"/>
          <w:b/>
          <w:sz w:val="28"/>
        </w:rPr>
        <w:t>二、问询函推动草案定型：8月7日草案并非最终表决文本</w:t>
      </w:r>
    </w:p>
    <w:p>
      <w:pPr>
        <w:spacing w:before="0" w:after="0" w:line="240" w:lineRule="auto" w:beforeLines="0" w:afterLines="0"/>
        <w:jc w:val="both"/>
        <w:ind w:firstLineChars="200"/>
      </w:pPr>
      <w:r>
        <w:rPr>
          <w:rFonts w:ascii="Times New Roman" w:hAnsi="Times New Roman" w:eastAsia="仿宋" w:cs="Times New Roman"/>
          <w:b w:val="0"/>
          <w:sz w:val="28"/>
        </w:rPr>
        <w:t>2026年8月7日，第三届董事会第二十四次会议审议通过《浙江帅丰电器股份有限公司重大资产购买报告书（草案）》及其摘要等议案并同步披露。8月18日，公司收到上海证券交易所上证公函【2026】1395号《关于对浙江帅丰电器股份有限公司重大资产重组草案的信息披露问询函》，8月19日以公告编号2026-038披露。9月14日，第三届董事会第二十六次会议审议通过修订报。</w:t>
      </w:r>
    </w:p>
    <w:p>
      <w:pPr>
        <w:spacing w:before="0" w:after="0" w:line="240" w:lineRule="auto" w:beforeLines="0" w:afterLines="0"/>
        <w:jc w:val="both"/>
        <w:ind w:firstLineChars="200"/>
      </w:pPr>
      <w:r>
        <w:rPr>
          <w:rFonts w:ascii="Times New Roman" w:hAnsi="Times New Roman" w:eastAsia="仿宋" w:cs="Times New Roman"/>
          <w:b w:val="0"/>
          <w:sz w:val="28"/>
        </w:rPr>
        <w:t>这条时间轴的核心信息不是</w:t>
      </w:r>
      <w:r>
        <w:rPr>
          <w:rFonts w:ascii="Times New Roman" w:hAnsi="Times New Roman" w:eastAsia="Times New Roman" w:cs="Times New Roman"/>
          <w:b w:val="0"/>
          <w:sz w:val="28"/>
        </w:rPr>
        <w:t>“</w:t>
      </w:r>
      <w:r>
        <w:rPr>
          <w:rFonts w:ascii="Times New Roman" w:hAnsi="Times New Roman" w:eastAsia="仿宋" w:cs="Times New Roman"/>
          <w:b w:val="0"/>
          <w:sz w:val="28"/>
        </w:rPr>
        <w:t>约三个半月完成</w:t>
      </w:r>
      <w:r>
        <w:rPr>
          <w:rFonts w:ascii="Times New Roman" w:hAnsi="Times New Roman" w:eastAsia="Times New Roman" w:cs="Times New Roman"/>
          <w:b w:val="0"/>
          <w:sz w:val="28"/>
        </w:rPr>
        <w:t>”</w:t>
      </w:r>
      <w:r>
        <w:rPr>
          <w:rFonts w:ascii="Times New Roman" w:hAnsi="Times New Roman" w:eastAsia="仿宋" w:cs="Times New Roman"/>
          <w:b w:val="0"/>
          <w:sz w:val="28"/>
        </w:rPr>
        <w:t>的速度，而是草案文本在监管反馈下修订定型：8月7日披露的草案并非提交股东会表决的最终版本，9月16日的修订稿才与股东会通知同日披露。问询函的具体关注点、公司回复的实质内容，公开资料未披露，不能推断交易所关注了估值、业绩承诺或标的持续经营能力中的哪一项；但可以确认，回复与修订是股东会召开的前置动作。对*ST类公司而言。</w:t>
      </w:r>
    </w:p>
    <w:p>
      <w:pPr>
        <w:spacing w:before="0" w:after="0" w:line="240" w:lineRule="auto" w:beforeLines="0" w:afterLines="0"/>
        <w:jc w:val="left"/>
        <w:ind w:firstLineChars="200"/>
      </w:pPr>
      <w:r>
        <w:rPr>
          <w:rFonts w:ascii="Times New Roman" w:hAnsi="Times New Roman" w:eastAsia="仿宋" w:cs="Times New Roman"/>
          <w:b/>
          <w:sz w:val="28"/>
        </w:rPr>
        <w:t>三、</w:t>
      </w:r>
      <w:r>
        <w:rPr>
          <w:rFonts w:ascii="Times New Roman" w:hAnsi="Times New Roman" w:eastAsia="Times New Roman" w:cs="Times New Roman"/>
          <w:b/>
          <w:sz w:val="28"/>
        </w:rPr>
        <w:t>“</w:t>
      </w:r>
      <w:r>
        <w:rPr>
          <w:rFonts w:ascii="Times New Roman" w:hAnsi="Times New Roman" w:eastAsia="仿宋" w:cs="Times New Roman"/>
          <w:b/>
          <w:sz w:val="28"/>
        </w:rPr>
        <w:t>四不</w:t>
      </w:r>
      <w:r>
        <w:rPr>
          <w:rFonts w:ascii="Times New Roman" w:hAnsi="Times New Roman" w:eastAsia="Times New Roman" w:cs="Times New Roman"/>
          <w:b/>
          <w:sz w:val="28"/>
        </w:rPr>
        <w:t>”</w:t>
      </w:r>
      <w:r>
        <w:rPr>
          <w:rFonts w:ascii="Times New Roman" w:hAnsi="Times New Roman" w:eastAsia="仿宋" w:cs="Times New Roman"/>
          <w:b/>
          <w:sz w:val="28"/>
        </w:rPr>
        <w:t>与</w:t>
      </w:r>
      <w:r>
        <w:rPr>
          <w:rFonts w:ascii="Times New Roman" w:hAnsi="Times New Roman" w:eastAsia="Times New Roman" w:cs="Times New Roman"/>
          <w:b/>
          <w:sz w:val="28"/>
        </w:rPr>
        <w:t>“</w:t>
      </w:r>
      <w:r>
        <w:rPr>
          <w:rFonts w:ascii="Times New Roman" w:hAnsi="Times New Roman" w:eastAsia="仿宋" w:cs="Times New Roman"/>
          <w:b/>
          <w:sz w:val="28"/>
        </w:rPr>
        <w:t>100%</w:t>
      </w:r>
      <w:r>
        <w:rPr>
          <w:rFonts w:ascii="Times New Roman" w:hAnsi="Times New Roman" w:eastAsia="Times New Roman" w:cs="Times New Roman"/>
          <w:b/>
          <w:sz w:val="28"/>
        </w:rPr>
        <w:t>”</w:t>
      </w:r>
      <w:r>
        <w:rPr>
          <w:rFonts w:ascii="Times New Roman" w:hAnsi="Times New Roman" w:eastAsia="仿宋" w:cs="Times New Roman"/>
          <w:b/>
          <w:sz w:val="28"/>
        </w:rPr>
        <w:t>：现金对价限定审核路径，全资收购完成原股东退出</w:t>
      </w:r>
    </w:p>
    <w:p>
      <w:pPr>
        <w:spacing w:before="0" w:after="0" w:line="240" w:lineRule="auto" w:beforeLines="0" w:afterLines="0"/>
        <w:jc w:val="both"/>
        <w:ind w:firstLineChars="200"/>
      </w:pPr>
      <w:r>
        <w:rPr>
          <w:rFonts w:ascii="Times New Roman" w:hAnsi="Times New Roman" w:eastAsia="仿宋" w:cs="Times New Roman"/>
          <w:b w:val="0"/>
          <w:sz w:val="28"/>
        </w:rPr>
        <w:t>交易结构由四项</w:t>
      </w:r>
      <w:r>
        <w:rPr>
          <w:rFonts w:ascii="Times New Roman" w:hAnsi="Times New Roman" w:eastAsia="Times New Roman" w:cs="Times New Roman"/>
          <w:b w:val="0"/>
          <w:sz w:val="28"/>
        </w:rPr>
        <w:t>“</w:t>
      </w:r>
      <w:r>
        <w:rPr>
          <w:rFonts w:ascii="Times New Roman" w:hAnsi="Times New Roman" w:eastAsia="仿宋" w:cs="Times New Roman"/>
          <w:b w:val="0"/>
          <w:sz w:val="28"/>
        </w:rPr>
        <w:t>不</w:t>
      </w:r>
      <w:r>
        <w:rPr>
          <w:rFonts w:ascii="Times New Roman" w:hAnsi="Times New Roman" w:eastAsia="Times New Roman" w:cs="Times New Roman"/>
          <w:b w:val="0"/>
          <w:sz w:val="28"/>
        </w:rPr>
        <w:t>”</w:t>
      </w:r>
      <w:r>
        <w:rPr>
          <w:rFonts w:ascii="Times New Roman" w:hAnsi="Times New Roman" w:eastAsia="仿宋" w:cs="Times New Roman"/>
          <w:b w:val="0"/>
          <w:sz w:val="28"/>
        </w:rPr>
        <w:t>与一个</w:t>
      </w:r>
      <w:r>
        <w:rPr>
          <w:rFonts w:ascii="Times New Roman" w:hAnsi="Times New Roman" w:eastAsia="Times New Roman" w:cs="Times New Roman"/>
          <w:b w:val="0"/>
          <w:sz w:val="28"/>
        </w:rPr>
        <w:t>“</w:t>
      </w:r>
      <w:r>
        <w:rPr>
          <w:rFonts w:ascii="Times New Roman" w:hAnsi="Times New Roman" w:eastAsia="仿宋" w:cs="Times New Roman"/>
          <w:b w:val="0"/>
          <w:sz w:val="28"/>
        </w:rPr>
        <w:t>100%</w:t>
      </w:r>
      <w:r>
        <w:rPr>
          <w:rFonts w:ascii="Times New Roman" w:hAnsi="Times New Roman" w:eastAsia="Times New Roman" w:cs="Times New Roman"/>
          <w:b w:val="0"/>
          <w:sz w:val="28"/>
        </w:rPr>
        <w:t>”</w:t>
      </w:r>
      <w:r>
        <w:rPr>
          <w:rFonts w:ascii="Times New Roman" w:hAnsi="Times New Roman" w:eastAsia="仿宋" w:cs="Times New Roman"/>
          <w:b w:val="0"/>
          <w:sz w:val="28"/>
        </w:rPr>
        <w:t>共同限定：不涉及发行股份，不构成关联交易，不构成重组上市，不导致控股股东和实际控制人变更；同时收购惠嘉科技100%股权，李连强、斯应昌不再保留少数股权。把这几项放在一起看，交易被限定为现金重大资产购买，而不是发行股份购买资产或重组上市。现金对价避免股本摊薄，也使控股股东与实际控制人的持股比例不被稀释；不构成关联交易意味着。</w:t>
      </w:r>
    </w:p>
    <w:p>
      <w:pPr>
        <w:spacing w:before="0" w:after="0" w:line="240" w:lineRule="auto" w:beforeLines="0" w:afterLines="0"/>
        <w:jc w:val="both"/>
        <w:ind w:firstLineChars="200"/>
      </w:pPr>
      <w:r>
        <w:rPr>
          <w:rFonts w:ascii="Times New Roman" w:hAnsi="Times New Roman" w:eastAsia="仿宋" w:cs="Times New Roman"/>
          <w:b w:val="0"/>
          <w:sz w:val="28"/>
        </w:rPr>
        <w:t>100%收购的含义不仅是合并范围，也是退出安排。两名自然人股东在交割后完全退出，惠嘉科技成为上市公司全资子公司；交易未设置少数股权保留，公开资料也未披露业绩承诺、补偿或对赌安排。对买方而言，全资持有使决策链条最短，但也意味着标的经营风险全部由上市公司承担；对卖方而言，现金对价与分期支付是其接受安排的现实机制——李连强、斯应昌以100%股权换取21,320万元。</w:t>
      </w:r>
    </w:p>
    <w:p>
      <w:pPr>
        <w:spacing w:before="0" w:after="0" w:line="240" w:lineRule="auto" w:beforeLines="0" w:afterLines="0"/>
        <w:jc w:val="left"/>
        <w:ind w:firstLineChars="200"/>
      </w:pPr>
      <w:r>
        <w:rPr>
          <w:rFonts w:ascii="Times New Roman" w:hAnsi="Times New Roman" w:eastAsia="仿宋" w:cs="Times New Roman"/>
          <w:b/>
          <w:sz w:val="28"/>
        </w:rPr>
        <w:t>四、五期支付与</w:t>
      </w:r>
      <w:r>
        <w:rPr>
          <w:rFonts w:ascii="Times New Roman" w:hAnsi="Times New Roman" w:eastAsia="Times New Roman" w:cs="Times New Roman"/>
          <w:b/>
          <w:sz w:val="28"/>
        </w:rPr>
        <w:t>“</w:t>
      </w:r>
      <w:r>
        <w:rPr>
          <w:rFonts w:ascii="Times New Roman" w:hAnsi="Times New Roman" w:eastAsia="仿宋" w:cs="Times New Roman"/>
          <w:b/>
          <w:sz w:val="28"/>
        </w:rPr>
        <w:t>已全额支付</w:t>
      </w:r>
      <w:r>
        <w:rPr>
          <w:rFonts w:ascii="Times New Roman" w:hAnsi="Times New Roman" w:eastAsia="Times New Roman" w:cs="Times New Roman"/>
          <w:b/>
          <w:sz w:val="28"/>
        </w:rPr>
        <w:t>”</w:t>
      </w:r>
      <w:r>
        <w:rPr>
          <w:rFonts w:ascii="Times New Roman" w:hAnsi="Times New Roman" w:eastAsia="仿宋" w:cs="Times New Roman"/>
          <w:b/>
          <w:sz w:val="28"/>
        </w:rPr>
        <w:t>并置：资金节奏需要逐笔核验</w:t>
      </w:r>
    </w:p>
    <w:p>
      <w:pPr>
        <w:spacing w:before="0" w:after="0" w:line="240" w:lineRule="auto" w:beforeLines="0" w:afterLines="0"/>
        <w:jc w:val="both"/>
        <w:ind w:firstLineChars="200"/>
      </w:pPr>
      <w:r>
        <w:rPr>
          <w:rFonts w:ascii="Times New Roman" w:hAnsi="Times New Roman" w:eastAsia="仿宋" w:cs="Times New Roman"/>
          <w:b w:val="0"/>
          <w:sz w:val="28"/>
        </w:rPr>
        <w:t>支付安排是本案最值得逐笔核验的部分。根据《股权收购协议》，对价21,320万元由上市公司以现金分五期支付，第一期在协议生效日后10个工作日内支付25%，对应5,330万元；截至公告披露日，公司已向交易对方支付21,320万元。这里出现两组需要并置的事实：合同约定是五期支付，执行结果是公告日已全额支付。两者并不必然矛盾，公开资料显示为后续期次的先决条件在股东会。</w:t>
      </w:r>
    </w:p>
    <w:p>
      <w:pPr>
        <w:spacing w:before="0" w:after="0" w:line="240" w:lineRule="auto" w:beforeLines="0" w:afterLines="0"/>
        <w:jc w:val="both"/>
        <w:ind w:firstLineChars="200"/>
      </w:pPr>
      <w:r>
        <w:rPr>
          <w:rFonts w:ascii="Times New Roman" w:hAnsi="Times New Roman" w:eastAsia="仿宋" w:cs="Times New Roman"/>
          <w:b w:val="0"/>
          <w:sz w:val="28"/>
        </w:rPr>
        <w:t>更关键的核验点是支付与过户的先后。若全额支付发生在标的资产过户之前，上市公司在尚未取得股权时就承担了资金占用和交易对手履约风险；若发生在过户之后或与过户同步，则风险敞口较短。公告只载明截至披露日已支付21,320万元，未载明支付与过户的先后顺序。资金来源同样未披露：*ST帅电以自有资金、债务融资还是其他安排支付，公开资料没有说明；其交易前货币资金、负债和现金。</w:t>
      </w:r>
    </w:p>
    <w:p>
      <w:pPr>
        <w:spacing w:before="0" w:after="0" w:line="240" w:lineRule="auto" w:beforeLines="0" w:afterLines="0"/>
        <w:jc w:val="left"/>
        <w:ind w:firstLineChars="200"/>
      </w:pPr>
      <w:r>
        <w:rPr>
          <w:rFonts w:ascii="Times New Roman" w:hAnsi="Times New Roman" w:eastAsia="仿宋" w:cs="Times New Roman"/>
          <w:b/>
          <w:sz w:val="28"/>
        </w:rPr>
        <w:t>五、标的与产业判断的空白：21,320万元估值对应什么仍待披露</w:t>
      </w:r>
    </w:p>
    <w:p>
      <w:pPr>
        <w:spacing w:before="0" w:after="0" w:line="240" w:lineRule="auto" w:beforeLines="0" w:afterLines="0"/>
        <w:jc w:val="both"/>
        <w:ind w:firstLineChars="200"/>
      </w:pPr>
      <w:r>
        <w:rPr>
          <w:rFonts w:ascii="Times New Roman" w:hAnsi="Times New Roman" w:eastAsia="仿宋" w:cs="Times New Roman"/>
          <w:b w:val="0"/>
          <w:sz w:val="28"/>
        </w:rPr>
        <w:t>分类标签把本案归入</w:t>
      </w:r>
      <w:r>
        <w:rPr>
          <w:rFonts w:ascii="Times New Roman" w:hAnsi="Times New Roman" w:eastAsia="Times New Roman" w:cs="Times New Roman"/>
          <w:b w:val="0"/>
          <w:sz w:val="28"/>
        </w:rPr>
        <w:t>“</w:t>
      </w:r>
      <w:r>
        <w:rPr>
          <w:rFonts w:ascii="Times New Roman" w:hAnsi="Times New Roman" w:eastAsia="仿宋" w:cs="Times New Roman"/>
          <w:b w:val="0"/>
          <w:sz w:val="28"/>
        </w:rPr>
        <w:t>依托上市平台持续整合同类资产</w:t>
      </w:r>
      <w:r>
        <w:rPr>
          <w:rFonts w:ascii="Times New Roman" w:hAnsi="Times New Roman" w:eastAsia="Times New Roman" w:cs="Times New Roman"/>
          <w:b w:val="0"/>
          <w:sz w:val="28"/>
        </w:rPr>
        <w:t>”</w:t>
      </w:r>
      <w:r>
        <w:rPr>
          <w:rFonts w:ascii="Times New Roman" w:hAnsi="Times New Roman" w:eastAsia="仿宋" w:cs="Times New Roman"/>
          <w:b w:val="0"/>
          <w:sz w:val="28"/>
        </w:rPr>
        <w:t>，但</w:t>
      </w:r>
      <w:r>
        <w:rPr>
          <w:rFonts w:ascii="Times New Roman" w:hAnsi="Times New Roman" w:eastAsia="Times New Roman" w:cs="Times New Roman"/>
          <w:b w:val="0"/>
          <w:sz w:val="28"/>
        </w:rPr>
        <w:t>“</w:t>
      </w:r>
      <w:r>
        <w:rPr>
          <w:rFonts w:ascii="Times New Roman" w:hAnsi="Times New Roman" w:eastAsia="仿宋" w:cs="Times New Roman"/>
          <w:b w:val="0"/>
          <w:sz w:val="28"/>
        </w:rPr>
        <w:t>同类</w:t>
      </w:r>
      <w:r>
        <w:rPr>
          <w:rFonts w:ascii="Times New Roman" w:hAnsi="Times New Roman" w:eastAsia="Times New Roman" w:cs="Times New Roman"/>
          <w:b w:val="0"/>
          <w:sz w:val="28"/>
        </w:rPr>
        <w:t>”</w:t>
      </w:r>
      <w:r>
        <w:rPr>
          <w:rFonts w:ascii="Times New Roman" w:hAnsi="Times New Roman" w:eastAsia="仿宋" w:cs="Times New Roman"/>
          <w:b w:val="0"/>
          <w:sz w:val="28"/>
        </w:rPr>
        <w:t>需要标的业务信息支撑。公开资料未披露惠嘉科技的主营业务、客户结构、收入与利润、资产规模、员工人数、知识产权与资质；也未披露估值方法、评估基准日、市盈率或市销率、业绩承诺与补偿安排。以21,320万元对应100%股权计算，标的整体估值即21,320万元；由于标的净利润未披露，市盈率无法计算，无法判断。</w:t>
      </w:r>
    </w:p>
    <w:p>
      <w:pPr>
        <w:spacing w:before="0" w:after="0" w:line="240" w:lineRule="auto" w:beforeLines="0" w:afterLines="0"/>
        <w:jc w:val="both"/>
        <w:ind w:firstLineChars="200"/>
      </w:pPr>
      <w:r>
        <w:rPr>
          <w:rFonts w:ascii="Times New Roman" w:hAnsi="Times New Roman" w:eastAsia="仿宋" w:cs="Times New Roman"/>
          <w:b w:val="0"/>
          <w:sz w:val="28"/>
        </w:rPr>
        <w:t>因此，对</w:t>
      </w:r>
      <w:r>
        <w:rPr>
          <w:rFonts w:ascii="Times New Roman" w:hAnsi="Times New Roman" w:eastAsia="Times New Roman" w:cs="Times New Roman"/>
          <w:b w:val="0"/>
          <w:sz w:val="28"/>
        </w:rPr>
        <w:t>“</w:t>
      </w:r>
      <w:r>
        <w:rPr>
          <w:rFonts w:ascii="Times New Roman" w:hAnsi="Times New Roman" w:eastAsia="仿宋" w:cs="Times New Roman"/>
          <w:b w:val="0"/>
          <w:sz w:val="28"/>
        </w:rPr>
        <w:t>同类资产整合</w:t>
      </w:r>
      <w:r>
        <w:rPr>
          <w:rFonts w:ascii="Times New Roman" w:hAnsi="Times New Roman" w:eastAsia="Times New Roman" w:cs="Times New Roman"/>
          <w:b w:val="0"/>
          <w:sz w:val="28"/>
        </w:rPr>
        <w:t>”</w:t>
      </w:r>
      <w:r>
        <w:rPr>
          <w:rFonts w:ascii="Times New Roman" w:hAnsi="Times New Roman" w:eastAsia="仿宋" w:cs="Times New Roman"/>
          <w:b w:val="0"/>
          <w:sz w:val="28"/>
        </w:rPr>
        <w:t>只能作为待核验情形，而不能作为结论。要验证这一情形，至少需要四类证据：惠嘉科技的收入构成与主要客户，判断其与厨电主业是否存在渠道、品牌或供应链关联；标的毛利率与费用结构，判断21,320万元对价对应的盈利基础；标的资质、知识产权与核心人员，判断收购的是业务能力还是仅为一个法律主体；交易前双方是否存在交易、合作或人员往来，判断</w:t>
      </w:r>
      <w:r>
        <w:rPr>
          <w:rFonts w:ascii="Times New Roman" w:hAnsi="Times New Roman" w:eastAsia="Times New Roman" w:cs="Times New Roman"/>
          <w:b w:val="0"/>
          <w:sz w:val="28"/>
        </w:rPr>
        <w:t>“</w:t>
      </w:r>
      <w:r>
        <w:rPr>
          <w:rFonts w:ascii="Times New Roman" w:hAnsi="Times New Roman" w:eastAsia="仿宋" w:cs="Times New Roman"/>
          <w:b w:val="0"/>
          <w:sz w:val="28"/>
        </w:rPr>
        <w:t>整合</w:t>
      </w:r>
      <w:r>
        <w:rPr>
          <w:rFonts w:ascii="Times New Roman" w:hAnsi="Times New Roman" w:eastAsia="Times New Roman" w:cs="Times New Roman"/>
          <w:b w:val="0"/>
          <w:sz w:val="28"/>
        </w:rPr>
        <w:t>”</w:t>
      </w:r>
      <w:r>
        <w:rPr>
          <w:rFonts w:ascii="Times New Roman" w:hAnsi="Times New Roman" w:eastAsia="仿宋" w:cs="Times New Roman"/>
          <w:b w:val="0"/>
          <w:sz w:val="28"/>
        </w:rPr>
        <w:t>是。</w:t>
      </w:r>
    </w:p>
    <w:p>
      <w:pPr>
        <w:spacing w:before="0" w:after="0" w:line="240" w:lineRule="auto" w:beforeLines="0" w:afterLines="0"/>
        <w:jc w:val="left"/>
        <w:ind w:firstLineChars="200"/>
      </w:pPr>
      <w:r>
        <w:rPr>
          <w:rFonts w:ascii="Times New Roman" w:hAnsi="Times New Roman" w:eastAsia="仿宋" w:cs="Times New Roman"/>
          <w:b/>
          <w:sz w:val="28"/>
        </w:rPr>
        <w:t>六、结语：现金支付与业务承接的核验方法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回到交易双方：*ST帅电以21,320万元现金收购李连强、斯应昌合计持有的惠嘉科技100%股权，分五期支付，首期25%于协议生效后10个工作日内支付，截至公告日已全额支付；交易不涉及发行股份，不构成关联交易，不构成重组上市，不导致控股股东和实际控制人变更；2026年6月25日签署意向协议，8月7日披露草案，8月18日收到问询函，9月16日回复并披露修订稿，10月8日股东会通过，10月10日完成过户。程序闭环已经形成，但价值判断仍缺少标的财务、估值依据和双方动机三类信息。</w:t>
      </w:r>
    </w:p>
    <w:p>
      <w:pPr>
        <w:spacing w:before="0" w:after="0" w:line="240" w:lineRule="auto" w:beforeLines="0" w:afterLines="0"/>
        <w:jc w:val="both"/>
        <w:ind w:firstLineChars="200"/>
      </w:pPr>
      <w:r>
        <w:rPr>
          <w:rFonts w:ascii="Times New Roman" w:hAnsi="Times New Roman" w:eastAsia="仿宋" w:cs="Times New Roman"/>
          <w:b w:val="0"/>
          <w:sz w:val="28"/>
        </w:rPr>
        <w:t>本案对同类交易的方法论意义，来自*ST帅电与惠嘉科技这组具体安排，而不是一般性的并购原则。第一，结构选择先于价格判断：在*ST平台上以纯现金收购100%股权、不发行股份且不改变控制权，把交易限定为重大资产购买，避免股本摊薄和审核路径切换，代价是上市公司独立承担21,320万元现金支出与标的全部经营风险。第二，支付条款必须与交割条件逐笔对应：五期安排与</w:t>
      </w:r>
      <w:r>
        <w:rPr>
          <w:rFonts w:ascii="Times New Roman" w:hAnsi="Times New Roman" w:eastAsia="Times New Roman" w:cs="Times New Roman"/>
          <w:b w:val="0"/>
          <w:sz w:val="28"/>
        </w:rPr>
        <w:t>“</w:t>
      </w:r>
      <w:r>
        <w:rPr>
          <w:rFonts w:ascii="Times New Roman" w:hAnsi="Times New Roman" w:eastAsia="仿宋" w:cs="Times New Roman"/>
          <w:b w:val="0"/>
          <w:sz w:val="28"/>
        </w:rPr>
        <w:t>截至公告日已支付21,320万元</w:t>
      </w:r>
      <w:r>
        <w:rPr>
          <w:rFonts w:ascii="Times New Roman" w:hAnsi="Times New Roman" w:eastAsia="Times New Roman" w:cs="Times New Roman"/>
          <w:b w:val="0"/>
          <w:sz w:val="28"/>
        </w:rPr>
        <w:t>”</w:t>
      </w:r>
      <w:r>
        <w:rPr>
          <w:rFonts w:ascii="Times New Roman" w:hAnsi="Times New Roman" w:eastAsia="仿宋" w:cs="Times New Roman"/>
          <w:b w:val="0"/>
          <w:sz w:val="28"/>
        </w:rPr>
        <w:t>并置，说明合同节奏与执行结果之间需要以每期先决条件、支付日期和过户顺序来核对，否则无法判断资金风险敞口。第三，程序管理是可复盘的并购能力：从2026-022号提示性公告到10月10日过户，草案在问询函回复后修订定型，股东会才具备表决条件，这一链条对*ST类公司的交易尤为关键。不能从本案推断的是标的质地、估值合理性以及</w:t>
      </w:r>
      <w:r>
        <w:rPr>
          <w:rFonts w:ascii="Times New Roman" w:hAnsi="Times New Roman" w:eastAsia="Times New Roman" w:cs="Times New Roman"/>
          <w:b w:val="0"/>
          <w:sz w:val="28"/>
        </w:rPr>
        <w:t>“</w:t>
      </w:r>
      <w:r>
        <w:rPr>
          <w:rFonts w:ascii="Times New Roman" w:hAnsi="Times New Roman" w:eastAsia="仿宋" w:cs="Times New Roman"/>
          <w:b w:val="0"/>
          <w:sz w:val="28"/>
        </w:rPr>
        <w:t>同类资产整合</w:t>
      </w:r>
      <w:r>
        <w:rPr>
          <w:rFonts w:ascii="Times New Roman" w:hAnsi="Times New Roman" w:eastAsia="Times New Roman" w:cs="Times New Roman"/>
          <w:b w:val="0"/>
          <w:sz w:val="28"/>
        </w:rPr>
        <w:t>”</w:t>
      </w:r>
      <w:r>
        <w:rPr>
          <w:rFonts w:ascii="Times New Roman" w:hAnsi="Times New Roman" w:eastAsia="仿宋" w:cs="Times New Roman"/>
          <w:b w:val="0"/>
          <w:sz w:val="28"/>
        </w:rPr>
        <w:t>的产业逻辑——这三项都需要惠嘉科技的业务与财务数据、估值方法和交易双方动机的进一步披露，才能从待证问题转为结论。</w:t>
      </w:r>
    </w:p>
    <w:p>
      <w:pPr>
        <w:spacing w:before="0" w:after="0" w:line="240" w:lineRule="auto" w:beforeLines="0" w:afterLines="0"/>
        <w:jc w:val="both"/>
        <w:ind w:firstLineChars="200"/>
      </w:pPr>
      <w:r>
        <w:rPr>
          <w:rFonts w:ascii="Times New Roman" w:hAnsi="Times New Roman" w:eastAsia="仿宋" w:cs="Times New Roman"/>
          <w:b w:val="0"/>
          <w:sz w:val="28"/>
        </w:rPr>
        <w:t>回到浙江帅丰电器与杭州惠嘉信息科技有限，本案的方法论意义不在于把交易结果写成通用并购总结，而在于把21,320万元；现金支付；分五期支付；收购惠嘉科技100%股权、收购股权比例：100%；交易对价：21,320万元；支付方式：现金；支付期数：5期、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浙江帅丰电器而言，关键是交割承接和整合节奏能否与已披露安排匹配；对杭州惠嘉信息科技有限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