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 w:beforeLines="0" w:afterLines="0"/>
        <w:jc w:val="center"/>
        <w:ind/>
      </w:pPr>
      <w:r>
        <w:rPr>
          <w:rFonts w:ascii="Times New Roman" w:hAnsi="Times New Roman" w:eastAsia="黑体" w:cs="Times New Roman"/>
          <w:b w:val="0"/>
          <w:sz w:val="30"/>
        </w:rPr>
        <w:t>Graco Inc.收购Valco Melt：现金支付与业务承接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本案例涉及Graco Inc.（下称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Graco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）收购Valco Melton（下称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Valco Melton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）的交易安排。交易前，本案例先从股权结构、控制权状态、业务状态和产业位置理解双方处境；交易的触发路径来自公告或监管披露《Graco Inc. Closes Acquisition of Valco Melton》，目标线索为公开资料披露：将Valco Melton的胶粘剂分配与检测技术与Graco全球规模结合，拓展流体处理业务。。一笔已交割的工业并购，最值得投委会复核的通常不是表面数字，而是数字被拆成哪些口径、哪些条款支撑这些口径、哪些信息始终缺席。2026年8月31日，Graco Inc.（下称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Graco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）公告完成对Valco Melton（公开资料未披露其完整法定名称）的收购，现金对价4.47亿美元，公开资料同时将该金额表述为净交易价值，并披露其中含约4,000万美元税项收益现值；估值给出约14倍2025年调整后EBITDA与约10倍2026年预估全年EBITDA两套基准。买方已披露逻辑只有一项：把Valco Melton的胶粘剂分配与检测技术与Graco全球规模结合，拓展流体处理业务；卖方安排可确认的是其股东以现金对价退出。标的收入、净利润、负债、现金流、客户结构、管理层留任、业绩承诺与协同量化均未披露，签约时点、董事会或股东会决议、监管审批与交割条件同样空白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一、可核验的事实集中在交割端，交易前状态与发起过程均未披露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事实披露边界上，本案可引用的交易对价、估值或支付口径为4.47亿美元现金（净交易价值，公开资料披露含约4000万美元税项收益现值）；时间线包括2026年8月31日：Graco Inc.公告完成对Valco Melton的收购（公开资料未披露签约日期、中途审批节点与分阶段交割安排）；财务和经营数据：净交易价值约14倍2025年调整后EBITDA、约10倍202。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公开资料能确认的时间锚点只有一个：2026年8月31日Graco公告完成收购，交易状态为已完成。签约日期、股权购买协议的具体条款、董事会或股东会决议、监管审批清单、交割先决条件、分阶段交割安排以及资金来源与融资安排，均无公开记载。交易前Valco Melton的股权结构、业务状态、经营压力与财务表现同样未披露，因此无法画出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交易前状态—触发事件—发起路径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的。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这一信息结构决定了复盘的写法：把已披露条款当作一级证据，把未披露项当作边界标注，而不是用行业常识去补写动机。买方购买理由在披露中只有一句可核验的表述——把Valco Melton的胶粘剂分配与检测技术与Graco的全球规模结合，以拓展流体处理业务；卖方安排则仅能确认其股东以现金对价退出，公开资料未单独披露其接受该安排的主观原因。全现金对价使原股东一次性变现。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二、胶粘剂分配与检测处在流体处理的相邻环节，交易买的是能力而非同类产能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Graco的公开定位是以流体处理设备为主业，Valco Melton在披露中被描述为拥有胶粘剂分配与检测技术。两者并非同一产品线的产能叠加，而是处在流体处理技术的相邻环节：一端是流体输送、计量与分配，另一端是胶粘剂的施胶与检测。买方逻辑也只有一句可核验的表述——把Valco Melton的胶粘剂分配与检测技术与Graco的全球规模结合，以拓展流体处理业务。这。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产业判断只能停在这一层，因为公开资料未披露Valco Melton的客户结构、终端行业分布、收入规模与地域构成，无法判断其技术在各终端场景中的渗透程度，也无法量化渠道复用可能带来的收入增量。可以确认的是，这是一笔主业边界之内的补强型收购：技术相邻、渠道现成、支付全现金，三项特征共同决定了它在Graco业务组合中的位置。对买方而言，真正的验证点不在交易完成日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三、4.47亿美元是净交易价值口径，税项收益现值不能与现金对价直接加减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本案最容易被误读的技术点，是4.47亿美元、净交易价值与约4,000万美元税项收益现值三者的关系。公开资料的表述是：现金对价4.47亿美元，该金额为净交易价值，并含约4,000万美元税项收益现值。这里至少存在三个口径：实际支付的现金、用于计算倍数的净交易价值、以及作为价值调整项的税项收益现值。资料没有给出三者之间的换算公式，也没有说明4.47亿美元是已经反映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可确认的只有两点：第一，支付方式为全额现金，买方在交割时形成一次性的现金流出；第二，税项收益现值约4,000万美元构成价值口径中的正向因素，其经济意义需要结合具体税务结构才能解释，而该结构未披露。对现金流的影响可以定性描述：4.47亿美元现金流出对买方的资金安排形成直接占用，约4,000万美元的税项收益现值在口径上形成部分抵减，但二者不在同一层面，不能简单视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四、14倍与10倍并列：约四成增幅是算术推演，不是披露的盈利预测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两个EBITDA基准并列出现，是本案估值披露的核心特征。约14倍对应2025年调整后EBITDA，约10倍对应2026年预估全年EBITDA。按披露倍数做一个简单推演：若净交易价值不变，倍数从14倍降至10倍，隐含2026年预估EBITDA较2025年调整后EBITDA增长约四成（14÷10−1）。这个数字是算术推演，不是披露的盈利预测，也不等于标的实际增长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对估值判断而言，重要的不是哪一个倍数更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合理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，而是两个倍数共同传递的信号：买方在定价时同时使用了历史调整后盈利与前瞻预估盈利，且前瞻口径显著降低了倍数。这种双基准披露在补强型现金收购中并不罕见，但它把验证责任推给了交割后的实际盈利表现。若2026年预估未能实现，实际支付倍数将回到14倍甚至更高；若实现，则10倍的口径才成立。标的财务不披露，使这一验证在外部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五、全现金结构把交割后的增长与整合风险留在买方一侧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卖方安排的可确认事实只有一项：Valco Melton的股东以现金对价退出。公开资料未单独披露其接受该安排的主观原因，也未披露是否存在业绩承诺、对价调整机制、管理层留任安排或品牌保留条款。在这一信息条件下，仍可从结构上分析风险分配。全现金对价对卖方意味着确定性和一次性变现，对买方则意味着现金一次性流出、且卖方不持有存续权益。股份对价会让卖方分享交割后的价值变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交易被归类为跨境并购，区域标注为美国/全球，但标的注册地、运营地域与需要审批的辖区均未披露，审批路径无法还原，因此不能把本案写成两国监管审批故事。治理层面的复盘同样只能得出一个事实性结论：承接安排不可见。对买方而言，交割完成只解决了所有权问题，真正的检验在于渠道导入、客户覆盖与管理层稳定三项，而这三项均无公开条款支撑。全现金的选择因此不只是支付偏好，而是风险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六、结语：现金支付与业务承接的核验方法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回到本案，可核验的骨架由四组事实构成：2026年8月31日完成交割；4.47亿美元现金，净交易价值口径内含约4,000万美元税项收益现值；约14倍2025年调整后EBITDA与约10倍2026年预估全年EBITDA两个基准；买方逻辑是把Valco Melton的胶粘剂分配与检测技术叠加到Graco全球规模上，拓展流体处理业务。标的收入、净利润、负债、现金流、客户结构与管理层安排均未披露，签约时点、审批清单与交割条件同样空白。在这样的信息条件下，估值可信度的检验只能依赖三条线索：倍数结构、支付方式与税项安排，而不是协同故事的强度。14倍与10倍之间的落差提示增长情形的存在，但无法区分经营增长与口径调整；全现金结构提示风险单边集中，但无法判断卖方退出的真实动因；税项收益现值提示价值口径经过税务安排调整，但无法倒算实际现金成本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对同类交易的从业者而言，本案的可操作启示是具体的：在标的财务不披露时，应把EBITDA的定义、绝对值与调整项列为交割前必须取得的验证项；应把营运资金调整、赔偿机制与关键人员留任作为现金对价的配套条款；交割后应建立以同一EBITDA口径为基准的跟踪机制，而不是以协同目标替代盈利验证。Graco以4.47亿美元买下的是一项相邻技术与一个渠道复用的情形，这两者能否在交割后转化为订单，公开资料尚未给出答案。本案的方法论意义也正在于此：当交易对价以净额口径披露、标的盈利以两个倍数呈现、支付方式为全现金时，外部复盘能够判断的是风险由谁承担、定价依赖何种情形，而不能替买方补写协同金额或整合时间表；这一未答之处，正是本案复盘应当停下的位置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回到Graco Inc.与Valco Melt，本案的方法论意义不在于把交易结果写成通用并购总结，而在于把4.47亿美元现金（净交易价值，公开资料披露含约4000万美元税项收益现值）、现金对价：4.47亿美元；净交易价值/2025年调整后EBITDA：约14倍；净交易价值/2026年预估全年EBITDA：约10倍；税项收益现值：约4000万美元、控制权、股权比例、支付方式和交割条件放在同一披露链条中核验。因此，同类并购首先要确认信息披露是否足以支撑估值锚、条款安排、治理边界和交易执行；其次要把产业链位置、客户结构、产能、技术路线、资源禀赋和商业模式放回标的业务承接中判断；最后才评估收入、净利润、现金流、负债、资产、市值、订单、客户和用户等财务影响。对Graco Inc.而言，关键是交割承接和整合节奏能否与已披露安排匹配；对Valco Melt而言，关键是控制权或股东接受机制能否在公开资料边界内被持续验证。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12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 w:beforeLines="0" w:afterLines="0"/>
      <w:jc w:val="both"/>
      <w:ind w:firstLineChars="200"/>
    </w:pPr>
    <w:rPr>
      <w:rFonts w:ascii="Times New Roman" w:hAnsi="Times New Roman" w:eastAsia="仿宋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before="0" w:line="240" w:lineRule="auto" w:beforeLines="0" w:afterLines="0"/>
      <w:jc w:val="both"/>
      <w:ind w:firstLineChars="200"/>
    </w:pPr>
    <w:rPr>
      <w:rFonts w:ascii="Times New Roman" w:hAnsi="Times New Roman" w:eastAsia="仿宋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