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中际旭创合计收购中石科技10.47%：协议转让与交割条件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本案例涉及中际旭创合计（下称</w:t>
      </w:r>
      <w:r>
        <w:rPr>
          <w:rFonts w:ascii="Times New Roman" w:hAnsi="Times New Roman" w:eastAsia="Times New Roman" w:cs="Times New Roman"/>
          <w:b w:val="0"/>
          <w:sz w:val="28"/>
        </w:rPr>
        <w:t>“</w:t>
      </w:r>
      <w:r>
        <w:rPr>
          <w:rFonts w:ascii="Times New Roman" w:hAnsi="Times New Roman" w:eastAsia="仿宋" w:cs="Times New Roman"/>
          <w:b w:val="0"/>
          <w:sz w:val="28"/>
        </w:rPr>
        <w:t>中际旭创合计</w:t>
      </w:r>
      <w:r>
        <w:rPr>
          <w:rFonts w:ascii="Times New Roman" w:hAnsi="Times New Roman" w:eastAsia="Times New Roman" w:cs="Times New Roman"/>
          <w:b w:val="0"/>
          <w:sz w:val="28"/>
        </w:rPr>
        <w:t>”</w:t>
      </w:r>
      <w:r>
        <w:rPr>
          <w:rFonts w:ascii="Times New Roman" w:hAnsi="Times New Roman" w:eastAsia="仿宋" w:cs="Times New Roman"/>
          <w:b w:val="0"/>
          <w:sz w:val="28"/>
        </w:rPr>
        <w:t>）收购中石科技10.47%股份（下称</w:t>
      </w:r>
      <w:r>
        <w:rPr>
          <w:rFonts w:ascii="Times New Roman" w:hAnsi="Times New Roman" w:eastAsia="Times New Roman" w:cs="Times New Roman"/>
          <w:b w:val="0"/>
          <w:sz w:val="28"/>
        </w:rPr>
        <w:t>“</w:t>
      </w:r>
      <w:r>
        <w:rPr>
          <w:rFonts w:ascii="Times New Roman" w:hAnsi="Times New Roman" w:eastAsia="仿宋" w:cs="Times New Roman"/>
          <w:b w:val="0"/>
          <w:sz w:val="28"/>
        </w:rPr>
        <w:t>中石科技10.47%股份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控股股东、实际控制人及其一致行动人协议转让公司部分股份完成过户登记的公告》，目标线索为公开资料未单独披露买方战略动机。公告披露的客观安排为：中际旭创以协议转让方式受让中石科技31,372,504股股份（占总股本10.47%），转让价格55.70元/股，股份转让价款合计人民币1,747,448,472.80元；中际旭创承诺自本次协议转让股份过户登记完成之日起12个月内不减持其所受让的公司股份。。2026年8月13日，北京中石伟业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中石科技</w:t>
      </w:r>
      <w:r>
        <w:rPr>
          <w:rFonts w:ascii="Times New Roman" w:hAnsi="Times New Roman" w:eastAsia="Times New Roman" w:cs="Times New Roman"/>
          <w:b w:val="0"/>
          <w:sz w:val="28"/>
        </w:rPr>
        <w:t>”</w:t>
      </w:r>
      <w:r>
        <w:rPr>
          <w:rFonts w:ascii="Times New Roman" w:hAnsi="Times New Roman" w:eastAsia="仿宋" w:cs="Times New Roman"/>
          <w:b w:val="0"/>
          <w:sz w:val="28"/>
        </w:rPr>
        <w:t>，证券代码：300684）控股股东、实际控制人及其一致行动人吴晓宁、叶露、HAN WU（吴憾）与中际旭创股份有限公司（下称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中际旭创</w:t>
      </w:r>
      <w:r>
        <w:rPr>
          <w:rFonts w:ascii="Times New Roman" w:hAnsi="Times New Roman" w:eastAsia="Times New Roman" w:cs="Times New Roman"/>
          <w:b w:val="0"/>
          <w:sz w:val="28"/>
        </w:rPr>
        <w:t>”</w:t>
      </w:r>
      <w:r>
        <w:rPr>
          <w:rFonts w:ascii="Times New Roman" w:hAnsi="Times New Roman" w:eastAsia="仿宋" w:cs="Times New Roman"/>
          <w:b w:val="0"/>
          <w:sz w:val="28"/>
        </w:rPr>
        <w:t>）签署《股份转让协议》，以55.70元/股协议转让31,372,504股无限售条件流通股，占当时总股本10.47%，股份转让价款合计人民币1,747,448,472.80元，同日披露提示性公告（公告编号：2026-038）。2026年9月29日完成过户，9月30日取得中国证券登记结算有限责任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中登</w:t>
      </w:r>
      <w:r>
        <w:rPr>
          <w:rFonts w:ascii="Times New Roman" w:hAnsi="Times New Roman" w:eastAsia="Times New Roman" w:cs="Times New Roman"/>
          <w:b w:val="0"/>
          <w:sz w:val="28"/>
        </w:rPr>
        <w:t>”</w:t>
      </w:r>
      <w:r>
        <w:rPr>
          <w:rFonts w:ascii="Times New Roman" w:hAnsi="Times New Roman" w:eastAsia="仿宋" w:cs="Times New Roman"/>
          <w:b w:val="0"/>
          <w:sz w:val="28"/>
        </w:rPr>
        <w:t>）《证券过户登记确认书》并披露完成公告（公告编号：2026-046）。转让完成后三名转让方合计仍持有94,117,511股，仍为中石科技控股股东、实际控制人。控制权未变、双方主观动机均未单独披露，这两点决定了条款应如何被解读：它是一笔有锁定约束的上市公司间少数股权交易，而非以整合为目的的控制权安排。交易由转让方与受让方直接以协议转让发起，公开资料未见要约、董事会或股东会决议作为发起文件。其研究价值在于：当买方只取得10.47%、卖方保留控制权时，比例、定价、锁定期与治理边界如何被分别设定。</w:t>
      </w:r>
    </w:p>
    <w:p>
      <w:pPr>
        <w:spacing w:before="0" w:after="0" w:line="240" w:lineRule="auto" w:beforeLines="0" w:afterLines="0"/>
        <w:jc w:val="left"/>
        <w:ind w:firstLineChars="200"/>
      </w:pPr>
      <w:r>
        <w:rPr>
          <w:rFonts w:ascii="Times New Roman" w:hAnsi="Times New Roman" w:eastAsia="仿宋" w:cs="Times New Roman"/>
          <w:b/>
          <w:sz w:val="28"/>
        </w:rPr>
        <w:t>一、10.47%落在披露门槛之上、要约线之下</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31,372,504股；占中石科技总股本10.47%；转让价格55.70元/股；股份转让价款合计人民币1,747,448,472.80元；交易方式为协议转让；时间线包括2026-08-13：中石科技披露《关于控股股东、实际控制人及其一致行动人拟协议转让公司部分股份暨权益变动的提示性公告》（公告编号：202。</w:t>
      </w:r>
    </w:p>
    <w:p>
      <w:pPr>
        <w:spacing w:before="0" w:after="0" w:line="240" w:lineRule="auto" w:beforeLines="0" w:afterLines="0"/>
        <w:jc w:val="both"/>
        <w:ind w:firstLineChars="200"/>
      </w:pPr>
      <w:r>
        <w:rPr>
          <w:rFonts w:ascii="Times New Roman" w:hAnsi="Times New Roman" w:eastAsia="仿宋" w:cs="Times New Roman"/>
          <w:b w:val="0"/>
          <w:sz w:val="28"/>
        </w:rPr>
        <w:t>比例选择是本案最重要的结构信息。10.47%高于5%的权益变动披露门槛，受让方须履行权益变动报告义务并进入主要股东视野；同时明显低于30%的要约收购触发线，不构成通常意义上的相对控股，也不触发全面要约义务。这一区间使交易在披露与合规成本可控的前提下完成，并把控制权完整留给原股东：转让方无需就让渡控制权作出安排，受让方也无需承担强制收购义务。按对价与比例倒算，对应中石科技全部股本的隐含价值约166.90亿元，按股数与比例倒算总股本约299,641,681股，二者均为算术结果。</w:t>
      </w:r>
    </w:p>
    <w:p>
      <w:pPr>
        <w:spacing w:before="0" w:after="0" w:line="240" w:lineRule="auto" w:beforeLines="0" w:afterLines="0"/>
        <w:jc w:val="both"/>
        <w:ind w:firstLineChars="200"/>
      </w:pPr>
      <w:r>
        <w:rPr>
          <w:rFonts w:ascii="Times New Roman" w:hAnsi="Times New Roman" w:eastAsia="仿宋" w:cs="Times New Roman"/>
          <w:b w:val="0"/>
          <w:sz w:val="28"/>
        </w:rPr>
        <w:t>产业层面可复盘的内容仅限于结构功能。公开资料未披露中石科技的业务、经营与产业状态，也未披露中际旭创的受让动机与产业协同意图，因此不能把本案预设为产业整合。可确认的是上市公司以参股方式配置另一上市公司少数股权：受让方取得10.47%的流通股，转让方保留控制权，双方在同一份协议下完成一次现金对价与股份交付。发起路径同样简洁：2026年8月13日，吴晓宁、叶露、H。</w:t>
      </w:r>
    </w:p>
    <w:p>
      <w:pPr>
        <w:spacing w:before="0" w:after="0" w:line="240" w:lineRule="auto" w:beforeLines="0" w:afterLines="0"/>
        <w:jc w:val="left"/>
        <w:ind w:firstLineChars="200"/>
      </w:pPr>
      <w:r>
        <w:rPr>
          <w:rFonts w:ascii="Times New Roman" w:hAnsi="Times New Roman" w:eastAsia="仿宋" w:cs="Times New Roman"/>
          <w:b/>
          <w:sz w:val="28"/>
        </w:rPr>
        <w:t>二、94,117,511股的控制基础：部分变现而不改变控制</w:t>
      </w:r>
    </w:p>
    <w:p>
      <w:pPr>
        <w:spacing w:before="0" w:after="0" w:line="240" w:lineRule="auto" w:beforeLines="0" w:afterLines="0"/>
        <w:jc w:val="both"/>
        <w:ind w:firstLineChars="200"/>
      </w:pPr>
      <w:r>
        <w:rPr>
          <w:rFonts w:ascii="Times New Roman" w:hAnsi="Times New Roman" w:eastAsia="仿宋" w:cs="Times New Roman"/>
          <w:b w:val="0"/>
          <w:sz w:val="28"/>
        </w:rPr>
        <w:t>转让完成后，吴晓宁、叶露及HAN WU（吴憾）合计持有94,117,511股，公告明确其仍为中石科技控股股东、实际控制人。按披露股数与10.47%倒算，转让前三人合计持股为125,490,015股，约占总股本41.88%，转让后约31.41%；吴晓宁转让前持有56,736,878股，约占总股本18.9%。上述比例均为算术结果，公告未逐一列示。本次出让的31,。</w:t>
      </w:r>
    </w:p>
    <w:p>
      <w:pPr>
        <w:spacing w:before="0" w:after="0" w:line="240" w:lineRule="auto" w:beforeLines="0" w:afterLines="0"/>
        <w:jc w:val="both"/>
        <w:ind w:firstLineChars="200"/>
      </w:pPr>
      <w:r>
        <w:rPr>
          <w:rFonts w:ascii="Times New Roman" w:hAnsi="Times New Roman" w:eastAsia="仿宋" w:cs="Times New Roman"/>
          <w:b w:val="0"/>
          <w:sz w:val="28"/>
        </w:rPr>
        <w:t>转让方接受该安排的主观原因，公开资料未单独披露，不能以看空公司或经营压力解释。可由披露条款支撑的客观机制有三层：其一，出让比例控制在使控制权不变的区间内，转让方以约四分之一持股换取现金对价，同时保留94,117,511股的表决基础；其二，三名一致行动人分别出让、在同一协议下统一签署，出让额度可在内部按各自持股规模分摊，不必由单一股东承担全部减持；其三，过户完。</w:t>
      </w:r>
    </w:p>
    <w:p>
      <w:pPr>
        <w:spacing w:before="0" w:after="0" w:line="240" w:lineRule="auto" w:beforeLines="0" w:afterLines="0"/>
        <w:jc w:val="left"/>
        <w:ind w:firstLineChars="200"/>
      </w:pPr>
      <w:r>
        <w:rPr>
          <w:rFonts w:ascii="Times New Roman" w:hAnsi="Times New Roman" w:eastAsia="仿宋" w:cs="Times New Roman"/>
          <w:b/>
          <w:sz w:val="28"/>
        </w:rPr>
        <w:t>三、55.70元/股只披露了价格：定价依据与财务影响的可核验范围</w:t>
      </w:r>
    </w:p>
    <w:p>
      <w:pPr>
        <w:spacing w:before="0" w:after="0" w:line="240" w:lineRule="auto" w:beforeLines="0" w:afterLines="0"/>
        <w:jc w:val="both"/>
        <w:ind w:firstLineChars="200"/>
      </w:pPr>
      <w:r>
        <w:rPr>
          <w:rFonts w:ascii="Times New Roman" w:hAnsi="Times New Roman" w:eastAsia="仿宋" w:cs="Times New Roman"/>
          <w:b w:val="0"/>
          <w:sz w:val="28"/>
        </w:rPr>
        <w:t>本案唯一披露的定价参数是55.70元/股，以及据此形成的1,747,448,472.80元总价款。公告未披露定价依据、估值方法、可比交易或协议签署前的市场价格参照，也未披露价款支付节奏、分期安排与资金来源。外部观察者只能核验对价的算术一致性，无法核验其合理性：166.90亿元的隐含全股本价值，在缺少标的收入、净利润、净资产与资产结构信息的情况下，不能转化为任何估值倍数，也无法与同行业公司比较。</w:t>
      </w:r>
    </w:p>
    <w:p>
      <w:pPr>
        <w:spacing w:before="0" w:after="0" w:line="240" w:lineRule="auto" w:beforeLines="0" w:afterLines="0"/>
        <w:jc w:val="both"/>
        <w:ind w:firstLineChars="200"/>
      </w:pPr>
      <w:r>
        <w:rPr>
          <w:rFonts w:ascii="Times New Roman" w:hAnsi="Times New Roman" w:eastAsia="仿宋" w:cs="Times New Roman"/>
          <w:b w:val="0"/>
          <w:sz w:val="28"/>
        </w:rPr>
        <w:t>这一披露边界构成同类交易的尽调清单。定价环节应固定三项证据：定价基准日与参照价格区间、估值方法及其关键情形、与可比交易或二级市场价格的偏离说明；支付环节应固定价款分期、过户前提条件与违约救济；会计与报表环节应事先明确持股比例的核算口径及其对利润表的影响路径。本案在定价与支付两项上仅披露结果，未披露过程，因此无法判断风险在双方之间如何分布：签约确立价款支付与股。</w:t>
      </w:r>
    </w:p>
    <w:p>
      <w:pPr>
        <w:spacing w:before="0" w:after="0" w:line="240" w:lineRule="auto" w:beforeLines="0" w:afterLines="0"/>
        <w:jc w:val="left"/>
        <w:ind w:firstLineChars="200"/>
      </w:pPr>
      <w:r>
        <w:rPr>
          <w:rFonts w:ascii="Times New Roman" w:hAnsi="Times New Roman" w:eastAsia="仿宋" w:cs="Times New Roman"/>
          <w:b/>
          <w:sz w:val="28"/>
        </w:rPr>
        <w:t>四、一个半月的程序链条：交易所确认与中登过户的分离</w:t>
      </w:r>
    </w:p>
    <w:p>
      <w:pPr>
        <w:spacing w:before="0" w:after="0" w:line="240" w:lineRule="auto" w:beforeLines="0" w:afterLines="0"/>
        <w:jc w:val="both"/>
        <w:ind w:firstLineChars="200"/>
      </w:pPr>
      <w:r>
        <w:rPr>
          <w:rFonts w:ascii="Times New Roman" w:hAnsi="Times New Roman" w:eastAsia="仿宋" w:cs="Times New Roman"/>
          <w:b w:val="0"/>
          <w:sz w:val="28"/>
        </w:rPr>
        <w:t>程序链条短且清晰。2026年8月13日签署《股份转让协议》并披露提示性公告（公告编号：2026-038）；此后取得深圳证券交易所出具的《深圳证券交易所上市公司股份协议转让确认书》，公告未披露取得日期；2026年9月29日为过户日期，过户股份合计31,372,504股，占当时总股本10.47%，股份性质为无限售流通股；9月30日取得中登《证券过户登记确认书》。</w:t>
      </w:r>
    </w:p>
    <w:p>
      <w:pPr>
        <w:spacing w:before="0" w:after="0" w:line="240" w:lineRule="auto" w:beforeLines="0" w:afterLines="0"/>
        <w:jc w:val="both"/>
        <w:ind w:firstLineChars="200"/>
      </w:pPr>
      <w:r>
        <w:rPr>
          <w:rFonts w:ascii="Times New Roman" w:hAnsi="Times New Roman" w:eastAsia="仿宋" w:cs="Times New Roman"/>
          <w:b w:val="0"/>
          <w:sz w:val="28"/>
        </w:rPr>
        <w:t>合规约束在过户后继续作用。公告列明的依据包括《中华人民共和国公司法》《中华人民共和国证券法》《上市公司收购管理办法》《深圳证券交易所创业板股票上市规则》及《深圳证券交易所上市公司自律监管指引第2号——创业板上市公司规范运作》，并说明不存在违反相关承诺的情形；过户完成后，双方须遵守《上市公司股东减持股份管理暂行办法》及上述第18号指引关于减持限制、信息披露与减。</w:t>
      </w:r>
    </w:p>
    <w:p>
      <w:pPr>
        <w:spacing w:before="0" w:after="0" w:line="240" w:lineRule="auto" w:beforeLines="0" w:afterLines="0"/>
        <w:jc w:val="left"/>
        <w:ind w:firstLineChars="200"/>
      </w:pPr>
      <w:r>
        <w:rPr>
          <w:rFonts w:ascii="Times New Roman" w:hAnsi="Times New Roman" w:eastAsia="仿宋" w:cs="Times New Roman"/>
          <w:b/>
          <w:sz w:val="28"/>
        </w:rPr>
        <w:t>五、12个月锁定与治理半径：10.47%不能读作控制</w:t>
      </w:r>
    </w:p>
    <w:p>
      <w:pPr>
        <w:spacing w:before="0" w:after="0" w:line="240" w:lineRule="auto" w:beforeLines="0" w:afterLines="0"/>
        <w:jc w:val="both"/>
        <w:ind w:firstLineChars="200"/>
      </w:pPr>
      <w:r>
        <w:rPr>
          <w:rFonts w:ascii="Times New Roman" w:hAnsi="Times New Roman" w:eastAsia="仿宋" w:cs="Times New Roman"/>
          <w:b w:val="0"/>
          <w:sz w:val="28"/>
        </w:rPr>
        <w:t>公告披露的受让方义务只有一项：中际旭创承诺自本次协议转让股份过户登记完成之日起12个月内不减持其所受让的公司股份。其边界清楚：期限为12个月，起算点为过户登记完成日，约束对象为本次受让的31,372,504股，不与业绩、股价或后续增持条件挂钩。它不能被读作长期战略持有的表达，也不能被读作双方存在一致行动关系的证据——公告未披露任何一致行动安排、表决权委托或股。</w:t>
      </w:r>
    </w:p>
    <w:p>
      <w:pPr>
        <w:spacing w:before="0" w:after="0" w:line="240" w:lineRule="auto" w:beforeLines="0" w:afterLines="0"/>
        <w:jc w:val="both"/>
        <w:ind w:firstLineChars="200"/>
      </w:pPr>
      <w:r>
        <w:rPr>
          <w:rFonts w:ascii="Times New Roman" w:hAnsi="Times New Roman" w:eastAsia="仿宋" w:cs="Times New Roman"/>
          <w:b w:val="0"/>
          <w:sz w:val="28"/>
        </w:rPr>
        <w:t>治理层面，公开资料未披露中际旭创是否取得董事会席位、是否获得重大事项否决权、是否与转让方就董事提名或管理层安排达成协议，也未披露后续增持或退出安排。因此10.47%在本案中只能界定为参股：它足以使受让方成为主要股东并履行权益变动披露义务，足以在股东大会层面形成一定表决影响，但不足以改变由94,117,511股所维持的控制格局，也不当然带来董事席位或经营参与。</w:t>
      </w:r>
    </w:p>
    <w:p>
      <w:pPr>
        <w:spacing w:before="0" w:after="0" w:line="240" w:lineRule="auto" w:beforeLines="0" w:afterLines="0"/>
        <w:jc w:val="left"/>
        <w:ind w:firstLineChars="200"/>
      </w:pPr>
      <w:r>
        <w:rPr>
          <w:rFonts w:ascii="Times New Roman" w:hAnsi="Times New Roman" w:eastAsia="仿宋" w:cs="Times New Roman"/>
          <w:b/>
          <w:sz w:val="28"/>
        </w:rPr>
        <w:t>六、结语：协议转让与交割条件的核验方法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回到中际旭创与中石科技，本案的核心事实是一笔以55.70元/股、合计1,747,448,472.80元受让31,372,504股（10.47%）的协议转让，转让方转让后仍持有94,117,511股并保留控股股东、实际控制人地位，受让方以12个月不减持承诺稳定持股。其方法论意义在于：控制权不转移时，交易文件必须分别回答比例、定价、支付、锁定与治理五个问题；公开披露若只给结果，外部只能核验算术一致性，不能核验合理性。对拟受让上市公司少数股权的产业方，应先确定比例对应的披露义务与表决权重，再以锁定承诺稳定交割后的股东结构，最后以董事席位或否决权条款明确是否参与治理；本案后两项均未披露，治理影响止于参股。对转让方，31,372,504股的出让在保留94,117,511股控制基础的同时实现部分变现，说明比例设计可以替代控制权让渡，成为交易成立的关键变量。</w:t>
      </w:r>
    </w:p>
    <w:p>
      <w:pPr>
        <w:spacing w:before="0" w:after="0" w:line="240" w:lineRule="auto" w:beforeLines="0" w:afterLines="0"/>
        <w:jc w:val="both"/>
        <w:ind w:firstLineChars="200"/>
      </w:pPr>
      <w:r>
        <w:rPr>
          <w:rFonts w:ascii="Times New Roman" w:hAnsi="Times New Roman" w:eastAsia="仿宋" w:cs="Times New Roman"/>
          <w:b w:val="0"/>
          <w:sz w:val="28"/>
        </w:rPr>
        <w:t>回到中际旭创合计与中石科技10.47%，本案的方法论意义不在于把交易结果写成通用并购总结，而在于把31,372,504股；占中石科技总股本10.47%；转让价格55.70元/股；股份转让价款合计人民币1,747,448,472.80元；交易方式为协议转让、31,372,504股；10.47%；55.70元/股；人民币1,747,448,472.80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中际旭创合计而言，关键是交割承接和整合节奏能否与已披露安排匹配；对中石科技10.47%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