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beforeLines="0" w:afterLines="0"/>
        <w:jc w:val="center"/>
        <w:ind/>
      </w:pPr>
      <w:r>
        <w:rPr>
          <w:rFonts w:ascii="Times New Roman" w:hAnsi="Times New Roman" w:eastAsia="黑体" w:cs="Times New Roman"/>
          <w:b w:val="0"/>
          <w:sz w:val="30"/>
        </w:rPr>
        <w:t>十亿跨境并购：罗博特科如何用股份锁住德国技术</w:t>
      </w:r>
    </w:p>
    <w:p>
      <w:pPr>
        <w:spacing w:line="240" w:lineRule="auto" w:before="0" w:after="0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对于上市公司董事长和CEO，罗博特科（300757）收购德国ficonTEC的案例提供了一个可复制的范式：小市值制造业企业如何通过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PE先行收购+上市公司二次收购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的结构，以股份和现金组合支付，将海外先进封装设备技术收入囊中。并购前最需验证的核心假设是标的的客户粘性与技术迭代能力；交易结构上，用股份锁定原PE股东利益，既可降低现金压力，又绑定标的团队持续投入。本次交易历时16个月，成功跨越德国外资审查和国内监管审批，交割后罗博特科从光伏自动化顺利切入半导体设备赛道，市值和业务空间大幅提升。以下从战略逻辑、交易结构、关键假设验证、投后整合四个维度展开，为相似决策提供参考。</w:t>
      </w:r>
    </w:p>
    <w:p>
      <w:pPr>
        <w:spacing w:before="0" w:after="0" w:beforeLines="0" w:afterLines="0"/>
        <w:ind/>
      </w:pPr>
      <w:r>
        <w:rPr>
          <w:rFonts w:ascii="Times New Roman" w:hAnsi="Times New Roman" w:eastAsia="仿宋" w:cs="Times New Roman"/>
          <w:b/>
          <w:sz w:val="28"/>
        </w:rPr>
        <w:t>一、从光伏到半导体：并购必须服务于第二曲线</w:t>
      </w:r>
    </w:p>
    <w:p>
      <w:pPr>
        <w:spacing w:line="240" w:lineRule="auto" w:before="0" w:after="0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罗博特科原主营业务为光伏电池自动化设备，下游高度依赖光伏行业周期。2020年至2023年，公司营收从约10亿元增长至约17亿元，但净利润波动较大，2023年扣非净利润不足1亿元，市场给予的估值中枢长期低于30倍市盈率。管理层清醒认识到，单一赛道受政策补贴退坡、产能过剩周期影响明显，必须寻找第二成长曲线。半导体先进封装设备，尤其是光电子封装和硅光测试领域，与罗博特科在精密运动控制、机器视觉方面的技术积累有协同可能，且市场增速超过20%、国产替代需求迫切。据公开资料，2023年中国半导体封装设备市场规模约300亿元，其中光电子封装占比虽小但增速最快。</w:t>
      </w:r>
    </w:p>
    <w:p>
      <w:pPr>
        <w:spacing w:line="240" w:lineRule="auto" w:before="0" w:after="0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标的ficonTEC是德国硅光及光电先进封装设备领域的隐形冠军，客户覆盖英伟达、英特尔、思科、博通等全球头部半导体企业。据公告披露，2023年其营收约1.2亿欧元，净利润约2000万欧元，净资产约4000万欧元，在手订单超过1亿欧元。但ficonTEC由私募基金永鑫融合、超越摩尔等持有，这些基金于2018年前后以约4亿元收购后，在2023年面临基金到期清退压力，希望寻求退出路径。罗博特科判断，若等到基金公开竞标再收购，极可能面临竞争对手、出价更高或标的被出售给战略买家，因此必须提前启动交易以锁定标的。这一战略窗口的判断，对产业集团有直接启示：当基金持有优质资产且临近退出时，上市公司具备平台优势，应主动出击而非被动等待。</w:t>
      </w:r>
    </w:p>
    <w:p>
      <w:pPr>
        <w:spacing w:before="0" w:after="0" w:beforeLines="0" w:afterLines="0"/>
        <w:ind/>
      </w:pPr>
      <w:r>
        <w:rPr>
          <w:rFonts w:ascii="Times New Roman" w:hAnsi="Times New Roman" w:eastAsia="仿宋" w:cs="Times New Roman"/>
          <w:b/>
          <w:sz w:val="28"/>
        </w:rPr>
        <w:t>二、股份+现金：交易结构如何平衡各方利益</w:t>
      </w:r>
    </w:p>
    <w:p>
      <w:pPr>
        <w:spacing w:line="240" w:lineRule="auto" w:before="0" w:after="0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2024年1月，罗博特科首次公告拟发行股份及支付现金购买ficonTEC 100%股权。据核查意见及媒体报道，交易对价约10.6亿元人民币，其中约7.4亿元以发行股份方式支付，发行对象为永鑫融合、超越摩尔、尚融宝盈、常州朴铧4家PE，对应发行股份9,581,778股；剩余约3.2亿元以现金支付，资金来源于募集配套资金。股份发行价为定价基准日前20个交易日均价，约82元/股（经除息调整后）。同时，罗博特科于2025年6月向特定投资者发行股份募集配套资金，发行价124元/股，发行3,072,245股，募集约3.8亿元，用于支付现金对价及相关费用。配套融资吸引了多家知名机构，认购倍数超过3倍，显示市场对本次整合的认可。</w:t>
      </w:r>
    </w:p>
    <w:p>
      <w:pPr>
        <w:spacing w:line="240" w:lineRule="auto" w:before="0" w:after="0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这一结构的关键在于三点。第一，用股份支付拉长锁定期。交易对方自愿承诺12个月不转让（自2025年5月23日上市起算），2026年5月25日方解禁，避免了集中抛售对股价的冲击，也使得原PE股东与上市公司利益深度绑定。解禁后，PE可通过二级市场逐步退出，但如果股价不理想，其也有动力协助上市公司提升业绩。第二，现金部分通过配套融资解决，不占用上市公司日常经营现金流，且配套融资定价更高，稀释效果有限。第三，交易完成后，4家PE合计持有罗博特科约6.2%股份（基于发行后总股本约1.68亿股），因收购后股价大幅上涨（最高超250元/股），其退出收益远超直接现金出售，从而愿意在整合期间全力配合。这种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以股份换时间、以股价换协同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的思路，值得有收购意愿但现金有限的上市公司借鉴。</w:t>
      </w:r>
    </w:p>
    <w:p>
      <w:pPr>
        <w:spacing w:before="0" w:after="0" w:beforeLines="0" w:afterLines="0"/>
        <w:ind/>
      </w:pPr>
      <w:r>
        <w:rPr>
          <w:rFonts w:ascii="Times New Roman" w:hAnsi="Times New Roman" w:eastAsia="仿宋" w:cs="Times New Roman"/>
          <w:b/>
          <w:sz w:val="28"/>
        </w:rPr>
        <w:t>三、跨境监管验证：时间与假设必须提前压力测试</w:t>
      </w:r>
    </w:p>
    <w:p>
      <w:pPr>
        <w:spacing w:line="240" w:lineRule="auto" w:before="0" w:after="0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本次并购面临德国外资审查（AWV）和中国证监会注册双重门槛，历时16个月。2024年上半年，德国经济部基于核心技术敏感性和就业保护，对收购展开深入审查。据21财经报道，罗博特科董事长戴军亲自带队赴德沟通，聘请德国顶级律所，重点论证ficonTEC主要产品为硅光测试设备，不涉及国防或关键基础设施，并承诺维持德国研发中心和就业岗位至少5年，且不强制性转移核心技术。最终在2024年第四季度获得德国无条件批准。国内方面，深交所和证监会对交易定价、业绩承诺、商誉风险反复问询。由于标的原股东是基金，无法出具长期业绩承诺（基金存续期有限），罗博特科通过详细披露标的客户订单（如英伟达批量订单）、技术路线和在手项目，证明其收入具有较高确定性。2025年4月，重组获得证监会注册批复。</w:t>
      </w:r>
    </w:p>
    <w:p>
      <w:pPr>
        <w:spacing w:line="240" w:lineRule="auto" w:before="0" w:after="0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该阶段给企业家的重要启示是：跨境并购前必须验证的核心假设包括——标的客户是否因股权变更而流失（需尽调客户合同中的控制权变更条款，ficonTEC大部分合同无此限制），技术出口管制是否影响未来供应（如美国EAR对半导体设备的长臂管辖，但标的设备在德国生产，不适用），以及标的原管理层是否愿意留任。罗博特科在签约前就与ficonTEC核心管理团队签署了3年留任协议和股权激励机制，用上市公司股票替换原基金期权，有效稳定了团队。此外，针对德国工会担忧，罗博特科承诺不裁员并增加研发投入，避免了劳工阻力。这些动作表明，跨境并购中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承诺留任+激励绑定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是解决人才保留的关键手段，必须在签约前完成谈判。</w:t>
      </w:r>
    </w:p>
    <w:p>
      <w:pPr>
        <w:spacing w:before="0" w:after="0" w:beforeLines="0" w:afterLines="0"/>
        <w:ind/>
      </w:pPr>
      <w:r>
        <w:rPr>
          <w:rFonts w:ascii="Times New Roman" w:hAnsi="Times New Roman" w:eastAsia="仿宋" w:cs="Times New Roman"/>
          <w:b/>
          <w:sz w:val="28"/>
        </w:rPr>
        <w:t>四、投后整合：技术承接与渠道协同的关键动作</w:t>
      </w:r>
    </w:p>
    <w:p>
      <w:pPr>
        <w:spacing w:line="240" w:lineRule="auto" w:before="0" w:after="0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2025年5月完成资产过户及股份发行后，罗博特科面临的整合挑战是：在保持德国团队独立运营的同时，将技术和渠道嫁接到国内。第一步，罗博特科在苏州设立半导体设备研发中心，由ficonTEC派出技术骨干常驻，进行工艺验证和本地化调试。第二步，利用罗博特科已有的光伏设备客户网络和供应链资源，向国内封装厂、光模块厂推广ficonTEC的硅光测试及封装设备。由于中美贸易摩擦加剧，国内下游厂商对国产替代需求强烈，ficonTEC品牌（全球市占率超60%）叠加本地快速响应服务，优势迅速转化为订单。据媒体报道，2025年12月，罗博特科获得国内头部光模块厂批量订单，金额超过5000万元。第三步，在德国保留完整研发生产团队，同时将部分非核心部件采购转移到中国以降低成本，预计可提升毛利率约3个百分点。</w:t>
      </w:r>
    </w:p>
    <w:p>
      <w:pPr>
        <w:spacing w:line="240" w:lineRule="auto" w:before="0" w:after="0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财务数据方面，据罗博特科2025年年报及公开新闻，公司2025年营业收入约25亿元，同比增长约47%；归母净利润约2.3亿元，同比增长约92%；扣非净利润约2.0亿元。截至2025年底，总资产约45亿元，净资产约30亿元，资产负债率约33%。标的ficonTEC在收购后首个完整年度（2025年）营收达约1.5亿欧元，净利润约2500万欧元，超额完成内部预算，毛利率保持40%以上。更为关键的是，罗博特科在全球硅光智能制造设备市场的份额由此跃居第一，客户黏性显著增强，订单能见度超过12个月。2026年5月，罗博特科再次递表港交所，计划打通境外融资渠道，进一步支持国际化扩张。这些结果验证了投后整合方案的有效性：既要保持海外团队独立性，又要快速建立本地转化能力，两者不可偏废。</w:t>
      </w:r>
    </w:p>
    <w:p>
      <w:pPr>
        <w:spacing w:before="0" w:after="0" w:beforeLines="0" w:afterLines="0"/>
        <w:ind/>
      </w:pPr>
      <w:r>
        <w:rPr>
          <w:rFonts w:ascii="Times New Roman" w:hAnsi="Times New Roman" w:eastAsia="仿宋" w:cs="Times New Roman"/>
          <w:b/>
          <w:sz w:val="28"/>
        </w:rPr>
        <w:t>结语：用并购打通成长第二曲线，但必须验证三个前提</w:t>
      </w:r>
    </w:p>
    <w:p>
      <w:pPr>
        <w:spacing w:line="240" w:lineRule="auto" w:before="0" w:after="0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罗博特科收购ficonTEC的案例表明，小市值上市公司可以借助PE资本完成对海外高价值资产的并购，但三个前提必须在交易前严格验证：一是标的的技术是否具有不可替代性和护城河（ficonTEC在硅光封装领域市占率超60%，且客户粘性极强）；二是客户关系是否能在新股东下延续（可通过合同审查和客户背调，发现控制权变更条款及历史交易数据）；三是管理层是否愿意继续任职且激励机制是否有效（留任协议+股权激励缺一不可）。交易结构设计上，股份+现金的组合既能降低现金压力，又能让原股东分享后续成长收益，从而降低整合阻力。投后则应立即建立技术转化团队和本地服务网络，将海外技术尽快转化为国内收入。对于正在寻求第二曲线的产业集团，这一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先由基金收购、再注入上市公司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的模式值得深入研究。</w:t>
      </w:r>
    </w:p>
    <w:p>
      <w:pPr>
        <w:spacing w:line="240" w:lineRule="auto" w:before="0" w:after="0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（注：本文财务数据均取自罗博特科2024-2025年年报、交易相关公告及公开媒体报道，具体数字以公司正式披露为准。）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beforeLines="0" w:afterLines="0"/>
      <w:jc w:val="both"/>
      <w:ind w:firstLineChars="200"/>
    </w:pPr>
    <w:rPr>
      <w:rFonts w:ascii="Times New Roman" w:hAnsi="Times New Roman" w:eastAsia="仿宋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