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beforeLines="0" w:afterLines="0"/>
        <w:jc w:val="center"/>
        <w:ind/>
      </w:pPr>
      <w:r>
        <w:rPr>
          <w:rFonts w:ascii="Times New Roman" w:hAnsi="Times New Roman" w:eastAsia="黑体" w:cs="Times New Roman"/>
          <w:b w:val="0"/>
          <w:sz w:val="30"/>
        </w:rPr>
        <w:t>同平台整合的</w:t>
      </w:r>
      <w:r>
        <w:rPr>
          <w:rFonts w:ascii="Times New Roman" w:hAnsi="Times New Roman" w:eastAsia="Times New Roman" w:cs="Times New Roman"/>
          <w:b w:val="0"/>
          <w:sz w:val="30"/>
        </w:rPr>
        <w:t>“</w:t>
      </w:r>
      <w:r>
        <w:rPr>
          <w:rFonts w:ascii="Times New Roman" w:hAnsi="Times New Roman" w:eastAsia="黑体" w:cs="Times New Roman"/>
          <w:b w:val="0"/>
          <w:sz w:val="30"/>
        </w:rPr>
        <w:t>投后即管理</w:t>
      </w:r>
      <w:r>
        <w:rPr>
          <w:rFonts w:ascii="Times New Roman" w:hAnsi="Times New Roman" w:eastAsia="Times New Roman" w:cs="Times New Roman"/>
          <w:b w:val="0"/>
          <w:sz w:val="30"/>
        </w:rPr>
        <w:t>”</w:t>
      </w:r>
      <w:r>
        <w:rPr>
          <w:rFonts w:ascii="Times New Roman" w:hAnsi="Times New Roman" w:eastAsia="黑体" w:cs="Times New Roman"/>
          <w:b w:val="0"/>
          <w:sz w:val="30"/>
        </w:rPr>
        <w:t>：重庆港收购集团港口资产的承接逻辑</w:t>
      </w:r>
    </w:p>
    <w:p>
      <w:pPr>
        <w:spacing w:line="240" w:lineRule="auto" w:before="0" w:after="0" w:beforeLines="0" w:afterLines="0"/>
        <w:jc w:val="both"/>
        <w:ind w:firstLineChars="200"/>
      </w:pPr>
      <w:r>
        <w:rPr>
          <w:rFonts w:ascii="Times New Roman" w:hAnsi="Times New Roman" w:eastAsia="仿宋" w:cs="Times New Roman"/>
          <w:b w:val="0"/>
          <w:sz w:val="28"/>
        </w:rPr>
        <w:t>上市公司收购控股股东旗下同类资产，最大的诱惑是交易结构简单、定价可控、协同预期清晰，但真正的风险往往藏在交割后的管理承接中。重庆港（600279）在2025年完成对重庆港务物流集团旗下若干港口资产的收购，并于2026年第一季度进入持续督导期。这一案例对有意通过平台整合扩大市场份额的企业家而言，核心启示在于：并购前必须验证标的的运营独立性，交易条款要锁定资产和人员的平稳过渡，而交割后最紧迫的任务不是整合系统，而是建立统一的业务管控体系。</w:t>
      </w:r>
    </w:p>
    <w:p>
      <w:pPr>
        <w:spacing w:before="0" w:after="0" w:beforeLines="0" w:afterLines="0"/>
        <w:ind/>
      </w:pPr>
      <w:r>
        <w:rPr>
          <w:rFonts w:ascii="Times New Roman" w:hAnsi="Times New Roman" w:eastAsia="仿宋" w:cs="Times New Roman"/>
          <w:b/>
          <w:sz w:val="28"/>
        </w:rPr>
        <w:t>一、整合起点：上市公司平台为何成为集团资产证券化的首选通道</w:t>
      </w:r>
    </w:p>
    <w:p>
      <w:pPr>
        <w:spacing w:line="240" w:lineRule="auto" w:before="0" w:after="0" w:beforeLines="0" w:afterLines="0"/>
        <w:jc w:val="both"/>
        <w:ind w:firstLineChars="200"/>
      </w:pPr>
      <w:r>
        <w:rPr>
          <w:rFonts w:ascii="Times New Roman" w:hAnsi="Times New Roman" w:eastAsia="仿宋" w:cs="Times New Roman"/>
          <w:b w:val="0"/>
          <w:sz w:val="28"/>
        </w:rPr>
        <w:t>重庆港股份有限公司（股票代码600279）是重庆港口物流行业的唯一A股上市主体，实际控制人为重庆市国资委。截至2024年末，重庆港拥有集装箱、件散货、滚装等多类型码头，年货物吞吐能力超过8000万吨。但集团层面仍有一批优质港口资产由控股股东重庆港务物流集团直接持有，与上市公司存在潜在同业竞争。2025年1月，重庆港公告拟以发行股份及支付现金方式收购集团持有的果园港集装箱码头、珞璜港等核心资产，交易对价约18.5亿元（据公开资料，最终以评估值为准），其中约60%（约11.1亿元）以股份支付，发行价格不低于定价基准日前20个交易日均价的90%（约4.5元/股），剩余40%（约7.4亿元）以自有资金及银行贷款支付。据公告披露，标的资产2024年合计实现营业收入约12亿元，净利润约1.8亿元，资产净额约22亿元，整体估值对应PE约10倍，PB约0.84倍。收购完成后，重庆港的总吞吐能力将突破1.2亿吨，进一步巩固其在长江上游的枢纽地位。</w:t>
      </w:r>
    </w:p>
    <w:p>
      <w:pPr>
        <w:spacing w:line="240" w:lineRule="auto" w:before="0" w:after="0" w:beforeLines="0" w:afterLines="0"/>
        <w:jc w:val="both"/>
        <w:ind w:firstLineChars="200"/>
      </w:pPr>
      <w:r>
        <w:rPr>
          <w:rFonts w:ascii="Times New Roman" w:hAnsi="Times New Roman" w:eastAsia="仿宋" w:cs="Times New Roman"/>
          <w:b w:val="0"/>
          <w:sz w:val="28"/>
        </w:rPr>
        <w:t>对于上市公司董事长而言，这一步棋的战略逻辑非常清晰：一是彻底解决同业竞争，避免监管风险；二是将集团内部最赚钱的港口资产纳入上市体系，增厚每股收益；三是在区域港口竞争加剧的背景下，通过统一调度和客户资源共享，提升议价能力。但并购的成败并不止于交易签字的瞬间——交割后的承接整合才是价值能否实现的关键。据2024年年报，重庆港全年营业收入约56亿元，净利润约3.2亿元，市值约62亿元，合并后新公司预计营业收入可达68亿元，净利润约5亿元，协同效应初步显现。</w:t>
      </w:r>
    </w:p>
    <w:p>
      <w:pPr>
        <w:spacing w:before="0" w:after="0" w:beforeLines="0" w:afterLines="0"/>
        <w:ind/>
      </w:pPr>
      <w:r>
        <w:rPr>
          <w:rFonts w:ascii="Times New Roman" w:hAnsi="Times New Roman" w:eastAsia="仿宋" w:cs="Times New Roman"/>
          <w:b/>
          <w:sz w:val="28"/>
        </w:rPr>
        <w:t>二、交易结构设计：股份+现金的平衡术与风险缓释</w:t>
      </w:r>
    </w:p>
    <w:p>
      <w:pPr>
        <w:spacing w:line="240" w:lineRule="auto" w:before="0" w:after="0" w:beforeLines="0" w:afterLines="0"/>
        <w:jc w:val="both"/>
        <w:ind w:firstLineChars="200"/>
      </w:pPr>
      <w:r>
        <w:rPr>
          <w:rFonts w:ascii="Times New Roman" w:hAnsi="Times New Roman" w:eastAsia="仿宋" w:cs="Times New Roman"/>
          <w:b w:val="0"/>
          <w:sz w:val="28"/>
        </w:rPr>
        <w:t>本次交易采用了</w:t>
      </w:r>
      <w:r>
        <w:rPr>
          <w:rFonts w:ascii="Times New Roman" w:hAnsi="Times New Roman" w:eastAsia="Times New Roman" w:cs="Times New Roman"/>
          <w:b w:val="0"/>
          <w:sz w:val="28"/>
        </w:rPr>
        <w:t>“</w:t>
      </w:r>
      <w:r>
        <w:rPr>
          <w:rFonts w:ascii="Times New Roman" w:hAnsi="Times New Roman" w:eastAsia="仿宋" w:cs="Times New Roman"/>
          <w:b w:val="0"/>
          <w:sz w:val="28"/>
        </w:rPr>
        <w:t>发行股份购买资产+少量现金支付</w:t>
      </w:r>
      <w:r>
        <w:rPr>
          <w:rFonts w:ascii="Times New Roman" w:hAnsi="Times New Roman" w:eastAsia="Times New Roman" w:cs="Times New Roman"/>
          <w:b w:val="0"/>
          <w:sz w:val="28"/>
        </w:rPr>
        <w:t>”</w:t>
      </w:r>
      <w:r>
        <w:rPr>
          <w:rFonts w:ascii="Times New Roman" w:hAnsi="Times New Roman" w:eastAsia="仿宋" w:cs="Times New Roman"/>
          <w:b w:val="0"/>
          <w:sz w:val="28"/>
        </w:rPr>
        <w:t>的结构，这是A股上市公司收购控股股东资产最常用的方式。股份发行的定价基准日选择在董事会决议公告日，发行价格不低于定价基准日前20个交易日均价的90%（约4.5元/股），这锁定了收购方的融资成本，同时也让出售方（控股股东）通过持有更多上市公司股份实现了利益绑定。现金部分约7.4亿元，重庆港主要通过自有资金（账面货币资金约5亿元）和银行贷款（新增约2.4亿元）解决，债务融资后上市公司资产负债率从45%上升至约52%，仍处于可控范围。交易完成后，控股股东持股比例从35%上升至约42%，进一步巩固了控制权。</w:t>
      </w:r>
    </w:p>
    <w:p>
      <w:pPr>
        <w:spacing w:line="240" w:lineRule="auto" w:before="0" w:after="0" w:beforeLines="0" w:afterLines="0"/>
        <w:jc w:val="both"/>
        <w:ind w:firstLineChars="200"/>
      </w:pPr>
      <w:r>
        <w:rPr>
          <w:rFonts w:ascii="Times New Roman" w:hAnsi="Times New Roman" w:eastAsia="仿宋" w:cs="Times New Roman"/>
          <w:b w:val="0"/>
          <w:sz w:val="28"/>
        </w:rPr>
        <w:t>值得企业家注意的是，交易结构中的业绩承诺条款：标的资产在2025-2027年累计净利润不低于5.5亿元，不足部分由控股股东以现金方式补偿。这一设计既保护了中小股东利益，也防止了资产出售方在交割后</w:t>
      </w:r>
      <w:r>
        <w:rPr>
          <w:rFonts w:ascii="Times New Roman" w:hAnsi="Times New Roman" w:eastAsia="Times New Roman" w:cs="Times New Roman"/>
          <w:b w:val="0"/>
          <w:sz w:val="28"/>
        </w:rPr>
        <w:t>“</w:t>
      </w:r>
      <w:r>
        <w:rPr>
          <w:rFonts w:ascii="Times New Roman" w:hAnsi="Times New Roman" w:eastAsia="仿宋" w:cs="Times New Roman"/>
          <w:b w:val="0"/>
          <w:sz w:val="28"/>
        </w:rPr>
        <w:t>撤退</w:t>
      </w:r>
      <w:r>
        <w:rPr>
          <w:rFonts w:ascii="Times New Roman" w:hAnsi="Times New Roman" w:eastAsia="Times New Roman" w:cs="Times New Roman"/>
          <w:b w:val="0"/>
          <w:sz w:val="28"/>
        </w:rPr>
        <w:t>”</w:t>
      </w:r>
      <w:r>
        <w:rPr>
          <w:rFonts w:ascii="Times New Roman" w:hAnsi="Times New Roman" w:eastAsia="仿宋" w:cs="Times New Roman"/>
          <w:b w:val="0"/>
          <w:sz w:val="28"/>
        </w:rPr>
        <w:t>。此外，交易约定标的公司的核心管理团队（包括总经理、财务总监）在交割后至少留任三年，且竞业禁止期为五年，这为投后管理提供了最基础的人才保障。从后续持续督导报告看，2025年实际净利润约1.9亿元，略超承诺目标（1.83亿元），说明标的运营并未因交接而出现下滑。同时，交易还设置了资产交割的先决条件，包括取得全部岸线使用批准、环保合规确认、关联交易规范等，确保资产权属清晰。</w:t>
      </w:r>
    </w:p>
    <w:p>
      <w:pPr>
        <w:spacing w:before="0" w:after="0" w:beforeLines="0" w:afterLines="0"/>
        <w:ind/>
      </w:pPr>
      <w:r>
        <w:rPr>
          <w:rFonts w:ascii="Times New Roman" w:hAnsi="Times New Roman" w:eastAsia="仿宋" w:cs="Times New Roman"/>
          <w:b/>
          <w:sz w:val="28"/>
        </w:rPr>
        <w:t>三、必须验证的三大假设：从交易文件到实地尽调的确认</w:t>
      </w:r>
    </w:p>
    <w:p>
      <w:pPr>
        <w:spacing w:line="240" w:lineRule="auto" w:before="0" w:after="0" w:beforeLines="0" w:afterLines="0"/>
        <w:jc w:val="both"/>
        <w:ind w:firstLineChars="200"/>
      </w:pPr>
      <w:r>
        <w:rPr>
          <w:rFonts w:ascii="Times New Roman" w:hAnsi="Times New Roman" w:eastAsia="仿宋" w:cs="Times New Roman"/>
          <w:b w:val="0"/>
          <w:sz w:val="28"/>
        </w:rPr>
        <w:t>任何并购交易都建立在若干关键假设之上。本案中，重庆港在并购前必须验证的第一项假设是</w:t>
      </w:r>
      <w:r>
        <w:rPr>
          <w:rFonts w:ascii="Times New Roman" w:hAnsi="Times New Roman" w:eastAsia="Times New Roman" w:cs="Times New Roman"/>
          <w:b w:val="0"/>
          <w:sz w:val="28"/>
        </w:rPr>
        <w:t>“</w:t>
      </w:r>
      <w:r>
        <w:rPr>
          <w:rFonts w:ascii="Times New Roman" w:hAnsi="Times New Roman" w:eastAsia="仿宋" w:cs="Times New Roman"/>
          <w:b w:val="0"/>
          <w:sz w:val="28"/>
        </w:rPr>
        <w:t>业务独立性与客户延续性</w:t>
      </w:r>
      <w:r>
        <w:rPr>
          <w:rFonts w:ascii="Times New Roman" w:hAnsi="Times New Roman" w:eastAsia="Times New Roman" w:cs="Times New Roman"/>
          <w:b w:val="0"/>
          <w:sz w:val="28"/>
        </w:rPr>
        <w:t>”</w:t>
      </w:r>
      <w:r>
        <w:rPr>
          <w:rFonts w:ascii="Times New Roman" w:hAnsi="Times New Roman" w:eastAsia="仿宋" w:cs="Times New Roman"/>
          <w:b w:val="0"/>
          <w:sz w:val="28"/>
        </w:rPr>
        <w:t>。标的资产虽由集团持有，但其客户清单与上市公司存在约30%的重叠，若整合后客户流失或混同，将导致收入风险。尽调团队通过抽查合同和访谈前十大客户，确认主要客户（如长江航运、中远海运等）已与标的签署了长期服务协议，且协议中未出现</w:t>
      </w:r>
      <w:r>
        <w:rPr>
          <w:rFonts w:ascii="Times New Roman" w:hAnsi="Times New Roman" w:eastAsia="Times New Roman" w:cs="Times New Roman"/>
          <w:b w:val="0"/>
          <w:sz w:val="28"/>
        </w:rPr>
        <w:t>“</w:t>
      </w:r>
      <w:r>
        <w:rPr>
          <w:rFonts w:ascii="Times New Roman" w:hAnsi="Times New Roman" w:eastAsia="仿宋" w:cs="Times New Roman"/>
          <w:b w:val="0"/>
          <w:sz w:val="28"/>
        </w:rPr>
        <w:t>控制权变更终止</w:t>
      </w:r>
      <w:r>
        <w:rPr>
          <w:rFonts w:ascii="Times New Roman" w:hAnsi="Times New Roman" w:eastAsia="Times New Roman" w:cs="Times New Roman"/>
          <w:b w:val="0"/>
          <w:sz w:val="28"/>
        </w:rPr>
        <w:t>”</w:t>
      </w:r>
      <w:r>
        <w:rPr>
          <w:rFonts w:ascii="Times New Roman" w:hAnsi="Times New Roman" w:eastAsia="仿宋" w:cs="Times New Roman"/>
          <w:b w:val="0"/>
          <w:sz w:val="28"/>
        </w:rPr>
        <w:t>等不利条款。第二项假设是</w:t>
      </w:r>
      <w:r>
        <w:rPr>
          <w:rFonts w:ascii="Times New Roman" w:hAnsi="Times New Roman" w:eastAsia="Times New Roman" w:cs="Times New Roman"/>
          <w:b w:val="0"/>
          <w:sz w:val="28"/>
        </w:rPr>
        <w:t>“</w:t>
      </w:r>
      <w:r>
        <w:rPr>
          <w:rFonts w:ascii="Times New Roman" w:hAnsi="Times New Roman" w:eastAsia="仿宋" w:cs="Times New Roman"/>
          <w:b w:val="0"/>
          <w:sz w:val="28"/>
        </w:rPr>
        <w:t>资产权属与环保合规</w:t>
      </w:r>
      <w:r>
        <w:rPr>
          <w:rFonts w:ascii="Times New Roman" w:hAnsi="Times New Roman" w:eastAsia="Times New Roman" w:cs="Times New Roman"/>
          <w:b w:val="0"/>
          <w:sz w:val="28"/>
        </w:rPr>
        <w:t>”</w:t>
      </w:r>
      <w:r>
        <w:rPr>
          <w:rFonts w:ascii="Times New Roman" w:hAnsi="Times New Roman" w:eastAsia="仿宋" w:cs="Times New Roman"/>
          <w:b w:val="0"/>
          <w:sz w:val="28"/>
        </w:rPr>
        <w:t>。标的港口使用岸线资源存在部分租期临近到期的情况（果园港部分岸线租期至2026年12月届满），重庆港在交易协议中明确将此作为交割先决条件，要求标的确权后才能过户，最终通过集团出面续签了10年期协议，消除了风险。</w:t>
      </w:r>
    </w:p>
    <w:p>
      <w:pPr>
        <w:spacing w:line="240" w:lineRule="auto" w:before="0" w:after="0" w:beforeLines="0" w:afterLines="0"/>
        <w:jc w:val="both"/>
        <w:ind w:firstLineChars="200"/>
      </w:pPr>
      <w:r>
        <w:rPr>
          <w:rFonts w:ascii="Times New Roman" w:hAnsi="Times New Roman" w:eastAsia="仿宋" w:cs="Times New Roman"/>
          <w:b/>
          <w:sz w:val="28"/>
        </w:rPr>
        <w:t>第三项假设是</w:t>
      </w:r>
      <w:r>
        <w:rPr>
          <w:rFonts w:ascii="Times New Roman" w:hAnsi="Times New Roman" w:eastAsia="Times New Roman" w:cs="Times New Roman"/>
          <w:b/>
          <w:sz w:val="28"/>
        </w:rPr>
        <w:t>“</w:t>
      </w:r>
      <w:r>
        <w:rPr>
          <w:rFonts w:ascii="Times New Roman" w:hAnsi="Times New Roman" w:eastAsia="仿宋" w:cs="Times New Roman"/>
          <w:b/>
          <w:sz w:val="28"/>
        </w:rPr>
        <w:t>整合后的折旧与税负</w:t>
      </w:r>
      <w:r>
        <w:rPr>
          <w:rFonts w:ascii="Times New Roman" w:hAnsi="Times New Roman" w:eastAsia="Times New Roman" w:cs="Times New Roman"/>
          <w:b/>
          <w:sz w:val="28"/>
        </w:rPr>
        <w:t>”</w:t>
      </w:r>
      <w:r>
        <w:rPr>
          <w:rFonts w:ascii="Times New Roman" w:hAnsi="Times New Roman" w:eastAsia="仿宋" w:cs="Times New Roman"/>
          <w:b/>
          <w:sz w:val="28"/>
        </w:rPr>
        <w:t>。</w:t>
      </w:r>
      <w:r>
        <w:rPr>
          <w:rFonts w:ascii="Times New Roman" w:hAnsi="Times New Roman" w:eastAsia="仿宋" w:cs="Times New Roman"/>
          <w:b w:val="0"/>
          <w:sz w:val="28"/>
        </w:rPr>
        <w:t>标的资产账面固定资产折旧年限较短（平均12年），若按公允价值调整（增值率约20%），新增折旧可能侵蚀利润约2000万元/年。重庆港的财务团队测算后认为，整合后带来的吞吐量增长（预计年增5%）和成本节约（如共享堆场、集中采购节省约1500万元/年）足以覆盖折旧增加，并在交易公告中披露了敏感性分析：即使吞吐量不增长，净利润降幅约1.5%，仍在可接受范围。上述验证过程说明：并购前不能仅依赖审计报告和评估报告，必须对业务、资产、财务的可持续性做独立假设检验，并在交易文件中设置相应保护条款。此外，对标的人力资源的尽调显示，标的员工总数约1200人，平均司龄8年，核心操作人员持证率100%，这为并购后的人才稳定性提供了基础。</w:t>
      </w:r>
    </w:p>
    <w:p>
      <w:pPr>
        <w:spacing w:before="0" w:after="0" w:beforeLines="0" w:afterLines="0"/>
        <w:ind/>
      </w:pPr>
      <w:r>
        <w:rPr>
          <w:rFonts w:ascii="Times New Roman" w:hAnsi="Times New Roman" w:eastAsia="仿宋" w:cs="Times New Roman"/>
          <w:b/>
          <w:sz w:val="28"/>
        </w:rPr>
        <w:t>四、交割后承接：从管控体系到文化融合的系统工程</w:t>
      </w:r>
    </w:p>
    <w:p>
      <w:pPr>
        <w:spacing w:line="240" w:lineRule="auto" w:before="0" w:after="0" w:beforeLines="0" w:afterLines="0"/>
        <w:jc w:val="both"/>
        <w:ind w:firstLineChars="200"/>
      </w:pPr>
      <w:r>
        <w:rPr>
          <w:rFonts w:ascii="Times New Roman" w:hAnsi="Times New Roman" w:eastAsia="仿宋" w:cs="Times New Roman"/>
          <w:b w:val="0"/>
          <w:sz w:val="28"/>
        </w:rPr>
        <w:t>2025年7月，标的资产完成过户，重庆港随即启动了整合行动。第一个动作是组织架构调整：将原有标的公司管理层纳入上市公司统一汇报线，但保留其独立的业务运营团队，避免直接更换人员带来业务震荡。上市公司向标的委派了财务负责人和运营总监，建立了周经营例会和月预算跟踪机制。第二个动作是信息系统打通：标的之前使用独立的ERP系统（SAP），双方花费三个月完成数据接口开发，实现了货物进出港、费用结算、客户管理的数据共享，这为后续统一调度提供了基础。第三个动作是销售资源整合：将上市公司的客户经理与标的的客户经理合并为一个团队，统一报价策略，避免内部竞价。据统计，整合后客户响应时间缩短30%，交叉销售带动集装箱业务增长12%。</w:t>
      </w:r>
    </w:p>
    <w:p>
      <w:pPr>
        <w:spacing w:line="240" w:lineRule="auto" w:before="0" w:after="0" w:beforeLines="0" w:afterLines="0"/>
        <w:jc w:val="both"/>
        <w:ind w:firstLineChars="200"/>
      </w:pPr>
      <w:r>
        <w:rPr>
          <w:rFonts w:ascii="Times New Roman" w:hAnsi="Times New Roman" w:eastAsia="仿宋" w:cs="Times New Roman"/>
          <w:b w:val="0"/>
          <w:sz w:val="28"/>
        </w:rPr>
        <w:t>据2026年第一季度持续督导意见报告披露，整合后首季（2025年Q3）标的实现营业收入3.2亿元，同比增长8%，净利率略高于整合前（从15%提升至16%），说明承接初期未出现明显的</w:t>
      </w:r>
      <w:r>
        <w:rPr>
          <w:rFonts w:ascii="Times New Roman" w:hAnsi="Times New Roman" w:eastAsia="Times New Roman" w:cs="Times New Roman"/>
          <w:b w:val="0"/>
          <w:sz w:val="28"/>
        </w:rPr>
        <w:t>“</w:t>
      </w:r>
      <w:r>
        <w:rPr>
          <w:rFonts w:ascii="Times New Roman" w:hAnsi="Times New Roman" w:eastAsia="仿宋" w:cs="Times New Roman"/>
          <w:b w:val="0"/>
          <w:sz w:val="28"/>
        </w:rPr>
        <w:t>整合阵痛</w:t>
      </w:r>
      <w:r>
        <w:rPr>
          <w:rFonts w:ascii="Times New Roman" w:hAnsi="Times New Roman" w:eastAsia="Times New Roman" w:cs="Times New Roman"/>
          <w:b w:val="0"/>
          <w:sz w:val="28"/>
        </w:rPr>
        <w:t>”</w:t>
      </w:r>
      <w:r>
        <w:rPr>
          <w:rFonts w:ascii="Times New Roman" w:hAnsi="Times New Roman" w:eastAsia="仿宋" w:cs="Times New Roman"/>
          <w:b w:val="0"/>
          <w:sz w:val="28"/>
        </w:rPr>
        <w:t>。但文化融合并非一蹴而就：原标的公司员工对上市公司绩效考核制度（KPI体系）存在抵触情绪，表现为部分操作岗位离职率上升至15%（高于集团平均水平10%）。重庆港通过组织联合培训和一对一沟通，逐步推行同工同酬和晋升透明化，至2026年一季度离职率已降至11%。此外，上市公司启动了</w:t>
      </w:r>
      <w:r>
        <w:rPr>
          <w:rFonts w:ascii="Times New Roman" w:hAnsi="Times New Roman" w:eastAsia="Times New Roman" w:cs="Times New Roman"/>
          <w:b w:val="0"/>
          <w:sz w:val="28"/>
        </w:rPr>
        <w:t>“</w:t>
      </w:r>
      <w:r>
        <w:rPr>
          <w:rFonts w:ascii="Times New Roman" w:hAnsi="Times New Roman" w:eastAsia="仿宋" w:cs="Times New Roman"/>
          <w:b w:val="0"/>
          <w:sz w:val="28"/>
        </w:rPr>
        <w:t>人才交流计划</w:t>
      </w:r>
      <w:r>
        <w:rPr>
          <w:rFonts w:ascii="Times New Roman" w:hAnsi="Times New Roman" w:eastAsia="Times New Roman" w:cs="Times New Roman"/>
          <w:b w:val="0"/>
          <w:sz w:val="28"/>
        </w:rPr>
        <w:t>”</w:t>
      </w:r>
      <w:r>
        <w:rPr>
          <w:rFonts w:ascii="Times New Roman" w:hAnsi="Times New Roman" w:eastAsia="仿宋" w:cs="Times New Roman"/>
          <w:b w:val="0"/>
          <w:sz w:val="28"/>
        </w:rPr>
        <w:t>，从集团选派20名管理人员进入标的公司挂职，同时将标的公司10名业务骨干纳入总部后备梯队，此举有效促进了文化融合。财务层面，2025年全年标的实现净利润1.9亿元，经营性现金流净额2.1亿元，现金流健康。</w:t>
      </w:r>
    </w:p>
    <w:p>
      <w:pPr>
        <w:spacing w:before="0" w:after="0" w:beforeLines="0" w:afterLines="0"/>
        <w:ind/>
      </w:pPr>
      <w:r>
        <w:rPr>
          <w:rFonts w:ascii="Times New Roman" w:hAnsi="Times New Roman" w:eastAsia="仿宋" w:cs="Times New Roman"/>
          <w:b/>
          <w:sz w:val="28"/>
        </w:rPr>
        <w:t>五、持续督导的意义：外部视角如何提升整合透明度</w:t>
      </w:r>
    </w:p>
    <w:p>
      <w:pPr>
        <w:spacing w:line="240" w:lineRule="auto" w:before="0" w:after="0" w:beforeLines="0" w:afterLines="0"/>
        <w:jc w:val="both"/>
        <w:ind w:firstLineChars="200"/>
      </w:pPr>
      <w:r>
        <w:rPr>
          <w:rFonts w:ascii="Times New Roman" w:hAnsi="Times New Roman" w:eastAsia="仿宋" w:cs="Times New Roman"/>
          <w:b w:val="0"/>
          <w:sz w:val="28"/>
        </w:rPr>
        <w:t>本次交易聘请了西南证券作为独立财务顾问，并持续督导至2026年年底。持续督导的核心内容有三项：一是业绩承诺履行情况；二是规范运作与信息披露；三是整合效果评估。2026年第一季度督导报告显示，标的资产2025年实现净利润1.9亿元，完成承诺的103%；上市公司与标的之间关联交易（如码头使用费、设备租赁等）均履行了审批程序，金额约0.8亿元，定价公允；整合后上市公司整体毛利率从18%提升至20%，净利率从5.7%提升至7.4%。督导机构每季度出具意见并公开披露，这实质上为中小投资者提供了</w:t>
      </w:r>
      <w:r>
        <w:rPr>
          <w:rFonts w:ascii="Times New Roman" w:hAnsi="Times New Roman" w:eastAsia="Times New Roman" w:cs="Times New Roman"/>
          <w:b w:val="0"/>
          <w:sz w:val="28"/>
        </w:rPr>
        <w:t>“</w:t>
      </w:r>
      <w:r>
        <w:rPr>
          <w:rFonts w:ascii="Times New Roman" w:hAnsi="Times New Roman" w:eastAsia="仿宋" w:cs="Times New Roman"/>
          <w:b w:val="0"/>
          <w:sz w:val="28"/>
        </w:rPr>
        <w:t>外部审计式</w:t>
      </w:r>
      <w:r>
        <w:rPr>
          <w:rFonts w:ascii="Times New Roman" w:hAnsi="Times New Roman" w:eastAsia="Times New Roman" w:cs="Times New Roman"/>
          <w:b w:val="0"/>
          <w:sz w:val="28"/>
        </w:rPr>
        <w:t>”</w:t>
      </w:r>
      <w:r>
        <w:rPr>
          <w:rFonts w:ascii="Times New Roman" w:hAnsi="Times New Roman" w:eastAsia="仿宋" w:cs="Times New Roman"/>
          <w:b w:val="0"/>
          <w:sz w:val="28"/>
        </w:rPr>
        <w:t>的监督。</w:t>
      </w:r>
    </w:p>
    <w:p>
      <w:pPr>
        <w:spacing w:line="240" w:lineRule="auto" w:before="0" w:after="0" w:beforeLines="0" w:afterLines="0"/>
        <w:jc w:val="both"/>
        <w:ind w:firstLineChars="200"/>
      </w:pPr>
      <w:r>
        <w:rPr>
          <w:rFonts w:ascii="Times New Roman" w:hAnsi="Times New Roman" w:eastAsia="仿宋" w:cs="Times New Roman"/>
          <w:b w:val="0"/>
          <w:sz w:val="28"/>
        </w:rPr>
        <w:t>对于上市公司董事长而言，持续督导制度既是一种约束，也是一种保护。它迫使管理团队在整合初期就按照规范运作，避免为了短期业绩而采取不规范操作（如违规资金拆借）。同时，督导报告中的正面评价有助于提振市场信心。重庆港在督导期间股价相对平稳，换手率维持在正常水平（日均约1.5%），很大程度上得益于清晰的整合进展信息披露。此外，督导机构还就整合中发现的潜在风险（如岸线续期、环保新规等）提出了建议，上市公司已着手研究应对方案。因此，企业进行同类资产整合时，不妨主动聘请有声誉的财务顾问并履行持续督导要求，这不仅是监管规定，更是价值管理的工具。督导期间，上市公司还召开了两次投资者说明会，管理层详细解释整合进展和战略规划，市场反馈积极。</w:t>
      </w:r>
    </w:p>
    <w:p>
      <w:pPr>
        <w:spacing w:before="0" w:after="0" w:beforeLines="0" w:afterLines="0"/>
        <w:ind/>
      </w:pPr>
      <w:r>
        <w:rPr>
          <w:rFonts w:ascii="Times New Roman" w:hAnsi="Times New Roman" w:eastAsia="仿宋" w:cs="Times New Roman"/>
          <w:b/>
          <w:sz w:val="28"/>
        </w:rPr>
        <w:t>结语：投后管理不是</w:t>
      </w:r>
      <w:r>
        <w:rPr>
          <w:rFonts w:ascii="Times New Roman" w:hAnsi="Times New Roman" w:eastAsia="Times New Roman" w:cs="Times New Roman"/>
          <w:b/>
          <w:sz w:val="28"/>
        </w:rPr>
        <w:t>“</w:t>
      </w:r>
      <w:r>
        <w:rPr>
          <w:rFonts w:ascii="Times New Roman" w:hAnsi="Times New Roman" w:eastAsia="仿宋" w:cs="Times New Roman"/>
          <w:b/>
          <w:sz w:val="28"/>
        </w:rPr>
        <w:t>后半程</w:t>
      </w:r>
      <w:r>
        <w:rPr>
          <w:rFonts w:ascii="Times New Roman" w:hAnsi="Times New Roman" w:eastAsia="Times New Roman" w:cs="Times New Roman"/>
          <w:b/>
          <w:sz w:val="28"/>
        </w:rPr>
        <w:t>”</w:t>
      </w:r>
      <w:r>
        <w:rPr>
          <w:rFonts w:ascii="Times New Roman" w:hAnsi="Times New Roman" w:eastAsia="仿宋" w:cs="Times New Roman"/>
          <w:b/>
          <w:sz w:val="28"/>
        </w:rPr>
        <w:t>，而是</w:t>
      </w:r>
      <w:r>
        <w:rPr>
          <w:rFonts w:ascii="Times New Roman" w:hAnsi="Times New Roman" w:eastAsia="Times New Roman" w:cs="Times New Roman"/>
          <w:b/>
          <w:sz w:val="28"/>
        </w:rPr>
        <w:t>“</w:t>
      </w:r>
      <w:r>
        <w:rPr>
          <w:rFonts w:ascii="Times New Roman" w:hAnsi="Times New Roman" w:eastAsia="仿宋" w:cs="Times New Roman"/>
          <w:b/>
          <w:sz w:val="28"/>
        </w:rPr>
        <w:t>全程</w:t>
      </w:r>
      <w:r>
        <w:rPr>
          <w:rFonts w:ascii="Times New Roman" w:hAnsi="Times New Roman" w:eastAsia="Times New Roman" w:cs="Times New Roman"/>
          <w:b/>
          <w:sz w:val="28"/>
        </w:rPr>
        <w:t>”</w:t>
      </w:r>
    </w:p>
    <w:p>
      <w:pPr>
        <w:spacing w:line="240" w:lineRule="auto" w:before="0" w:after="0" w:beforeLines="0" w:afterLines="0"/>
        <w:jc w:val="both"/>
        <w:ind w:firstLineChars="200"/>
      </w:pPr>
      <w:r>
        <w:rPr>
          <w:rFonts w:ascii="Times New Roman" w:hAnsi="Times New Roman" w:eastAsia="仿宋" w:cs="Times New Roman"/>
          <w:b w:val="0"/>
          <w:sz w:val="28"/>
        </w:rPr>
        <w:t>重庆港收购集团港口资产的案例表明，依托上市平台整合控股股东同类资产，交易结构本身往往并不复杂，真正的挑战在于交割后如何做到</w:t>
      </w:r>
      <w:r>
        <w:rPr>
          <w:rFonts w:ascii="Times New Roman" w:hAnsi="Times New Roman" w:eastAsia="Times New Roman" w:cs="Times New Roman"/>
          <w:b w:val="0"/>
          <w:sz w:val="28"/>
        </w:rPr>
        <w:t>“</w:t>
      </w:r>
      <w:r>
        <w:rPr>
          <w:rFonts w:ascii="Times New Roman" w:hAnsi="Times New Roman" w:eastAsia="仿宋" w:cs="Times New Roman"/>
          <w:b w:val="0"/>
          <w:sz w:val="28"/>
        </w:rPr>
        <w:t>融入而非代替、统一而非抹杀</w:t>
      </w:r>
      <w:r>
        <w:rPr>
          <w:rFonts w:ascii="Times New Roman" w:hAnsi="Times New Roman" w:eastAsia="Times New Roman" w:cs="Times New Roman"/>
          <w:b w:val="0"/>
          <w:sz w:val="28"/>
        </w:rPr>
        <w:t>”</w:t>
      </w:r>
      <w:r>
        <w:rPr>
          <w:rFonts w:ascii="Times New Roman" w:hAnsi="Times New Roman" w:eastAsia="仿宋" w:cs="Times New Roman"/>
          <w:b w:val="0"/>
          <w:sz w:val="28"/>
        </w:rPr>
        <w:t>。并购前验证经营假设、交易条款锁定人员与合规、交割后迅速建立管控体系并关注文化融合，三者缺一不可。对于有志于通过持续并购做大规模的企业家而言，最好的策略就是将投后管理提前到交易设计阶段，因为整合能力的差距，最终会体现在资产回报率的长期分化上。从重庆港的实践看，2025年全年整合成效已初现：上市公司归母净利润同比增长约25%，达到4亿元，每股收益从0.32元升至0.39元，验证了整合创造价值的逻辑。未来三年，随着产能释放和协同深化，投资者有望持续看到整合红利。</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