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上海交运集团收购上海久事体育赛事运营：股权比例与治理安排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本案例涉及上海交运集团股份有限公司（下称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上海交运</w:t>
      </w:r>
      <w:r>
        <w:rPr>
          <w:rFonts w:ascii="Times New Roman" w:hAnsi="Times New Roman" w:eastAsia="Times New Roman" w:cs="Times New Roman"/>
          <w:b w:val="0"/>
          <w:sz w:val="28"/>
        </w:rPr>
        <w:t>”</w:t>
      </w:r>
      <w:r>
        <w:rPr>
          <w:rFonts w:ascii="Times New Roman" w:hAnsi="Times New Roman" w:eastAsia="仿宋" w:cs="Times New Roman"/>
          <w:b w:val="0"/>
          <w:sz w:val="28"/>
        </w:rPr>
        <w:t>）收购上海久事体育赛事运营管理有限公司100%股权、上海久事体育场馆有限公司100%股权、上海浦江游览集团有限公司100%股权、上海久事演艺有限公司100%股权（下称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上海久事体育赛事运营管理100%股权、上海久事体育场馆100%股权、上海浦江游览100%股权、上海久事演艺100%股权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上海交运集团股份有限公司关于资产置换暨关联交易完成交割的公告》，目标线索为公开资料未披露明确的商业动机；交易条款显示，上市公司与控股股东久事集团及关联方进行资产置换，置入文体娱乐业、旅游业相关业务资产，置出汽车零部件等资产。。当一家上市公司的主业面临增长瓶颈，控股股东手中又握有更具现金流吸引力的业务资产时，通过资产置换实现主业切换、同时让一级资产完成证券化，便成为一种具有参考价值的结构设计。上海交运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交运股份</w:t>
      </w:r>
      <w:r>
        <w:rPr>
          <w:rFonts w:ascii="Times New Roman" w:hAnsi="Times New Roman" w:eastAsia="Times New Roman" w:cs="Times New Roman"/>
          <w:b w:val="0"/>
          <w:sz w:val="28"/>
        </w:rPr>
        <w:t>”</w:t>
      </w:r>
      <w:r>
        <w:rPr>
          <w:rFonts w:ascii="Times New Roman" w:hAnsi="Times New Roman" w:eastAsia="仿宋" w:cs="Times New Roman"/>
          <w:b w:val="0"/>
          <w:sz w:val="28"/>
        </w:rPr>
        <w:t>，600676）与控股股东上海久事（集团）有限公司（下称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久事集团</w:t>
      </w:r>
      <w:r>
        <w:rPr>
          <w:rFonts w:ascii="Times New Roman" w:hAnsi="Times New Roman" w:eastAsia="Times New Roman" w:cs="Times New Roman"/>
          <w:b w:val="0"/>
          <w:sz w:val="28"/>
        </w:rPr>
        <w:t>”</w:t>
      </w:r>
      <w:r>
        <w:rPr>
          <w:rFonts w:ascii="Times New Roman" w:hAnsi="Times New Roman" w:eastAsia="仿宋" w:cs="Times New Roman"/>
          <w:b w:val="0"/>
          <w:sz w:val="28"/>
        </w:rPr>
        <w:t>）于2026年完成的资产置换交易，提供了这样一个观察窗口。2026年5月21日，交运股份披露资产置换暨关联交易公告，拟置入由久事集团及其关联方持有的上海久事体育赛事运营管理有限公司、上海久事体育场馆有限公司、上海浦江游览集团有限公司和上海久事演艺有限公司各100%股权。</w:t>
      </w:r>
    </w:p>
    <w:p>
      <w:pPr>
        <w:spacing w:before="0" w:after="0" w:line="240" w:lineRule="auto" w:beforeLines="0" w:afterLines="0"/>
        <w:jc w:val="left"/>
        <w:ind w:firstLineChars="200"/>
      </w:pPr>
      <w:r>
        <w:rPr>
          <w:rFonts w:ascii="Times New Roman" w:hAnsi="Times New Roman" w:eastAsia="仿宋" w:cs="Times New Roman"/>
          <w:b/>
          <w:sz w:val="28"/>
        </w:rPr>
        <w:t>一、交易前夜：汽车零部件主业的现实压力与久事文体资产的证券化诉求</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披露（公告仅披露置入标的100%股权，未披露具体交易金额）；时间线包括2026-05-21披露《关于资产置换暨关联交易公告》（公告编号：2026-026）；2026-06-16 2026年第二次临时股东会审议通过（公告编号：2026-031）；关键数字包括置入标的：4家公司100%股权（赛事运营；交易前，交运股份的主业由汽车零部件制造及健康科技两大板块构成。拟置出的五家公司分别为上海交运汽车动力系统有限公司、上海交运汽车精密冲压件有限公司、烟台中瑞汽车零部件有限公司、沈阳中瑞汽车零部件有限公司以及上海交运英诺维健康科技有限公司。尽管公开资料未披露这些标的的具体财务数据，但从行业属性看，传统汽车零部件制造面临电动化转型冲击，特别是动力总成相关业务（汽车。</w:t>
      </w:r>
    </w:p>
    <w:p>
      <w:pPr>
        <w:spacing w:before="0" w:after="0" w:line="240" w:lineRule="auto" w:beforeLines="0" w:afterLines="0"/>
        <w:jc w:val="both"/>
        <w:ind w:firstLineChars="200"/>
      </w:pPr>
      <w:r>
        <w:rPr>
          <w:rFonts w:ascii="Times New Roman" w:hAnsi="Times New Roman" w:eastAsia="仿宋" w:cs="Times New Roman"/>
          <w:b w:val="0"/>
          <w:sz w:val="28"/>
        </w:rPr>
        <w:t>对于久事集团而言，将其持有的文体旅游资产注入上市平台，可以实现资产定价参照、融资渠道拓展与管理层激励对齐等多重目标；对于交运股份上市公司来说，置出增长日益受限的旧业务，换取业务组合的彻底重构，亦是摆脱主业困境的某种必然选择。尽管公告并未披露任何一方的主观动机，但交易条款给出了客观的解释机制：久事集团及其关联方作为出售方，以其持有的四家公司100%股权为对价。</w:t>
      </w:r>
    </w:p>
    <w:p>
      <w:pPr>
        <w:spacing w:before="0" w:after="0" w:line="240" w:lineRule="auto" w:beforeLines="0" w:afterLines="0"/>
        <w:jc w:val="left"/>
        <w:ind w:firstLineChars="200"/>
      </w:pPr>
      <w:r>
        <w:rPr>
          <w:rFonts w:ascii="Times New Roman" w:hAnsi="Times New Roman" w:eastAsia="仿宋" w:cs="Times New Roman"/>
          <w:b/>
          <w:sz w:val="28"/>
        </w:rPr>
        <w:t>二、瞬时交割的结构设计：同步换出换入的治理与财务逻辑</w:t>
      </w:r>
    </w:p>
    <w:p>
      <w:pPr>
        <w:spacing w:before="0" w:after="0" w:line="240" w:lineRule="auto" w:beforeLines="0" w:afterLines="0"/>
        <w:jc w:val="both"/>
        <w:ind w:firstLineChars="200"/>
      </w:pPr>
      <w:r>
        <w:rPr>
          <w:rFonts w:ascii="Times New Roman" w:hAnsi="Times New Roman" w:eastAsia="仿宋" w:cs="Times New Roman"/>
          <w:b w:val="0"/>
          <w:sz w:val="28"/>
        </w:rPr>
        <w:t>与其他以现金收购为主的交易不同，本案采用的是同步置入置出的资产置换结构。根据公告，交运股份与久事集团、上海久事体育产业发展（集团）有限公司（下称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久事体育</w:t>
      </w:r>
      <w:r>
        <w:rPr>
          <w:rFonts w:ascii="Times New Roman" w:hAnsi="Times New Roman" w:eastAsia="Times New Roman" w:cs="Times New Roman"/>
          <w:b w:val="0"/>
          <w:sz w:val="28"/>
        </w:rPr>
        <w:t>”</w:t>
      </w:r>
      <w:r>
        <w:rPr>
          <w:rFonts w:ascii="Times New Roman" w:hAnsi="Times New Roman" w:eastAsia="仿宋" w:cs="Times New Roman"/>
          <w:b w:val="0"/>
          <w:sz w:val="28"/>
        </w:rPr>
        <w:t>）、上海久事旅游（集团）有限公司（下称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久事旅游</w:t>
      </w:r>
      <w:r>
        <w:rPr>
          <w:rFonts w:ascii="Times New Roman" w:hAnsi="Times New Roman" w:eastAsia="Times New Roman" w:cs="Times New Roman"/>
          <w:b w:val="0"/>
          <w:sz w:val="28"/>
        </w:rPr>
        <w:t>”</w:t>
      </w:r>
      <w:r>
        <w:rPr>
          <w:rFonts w:ascii="Times New Roman" w:hAnsi="Times New Roman" w:eastAsia="仿宋" w:cs="Times New Roman"/>
          <w:b w:val="0"/>
          <w:sz w:val="28"/>
        </w:rPr>
        <w:t>）及上海久事文化传播有限公司（下称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久事文传</w:t>
      </w:r>
      <w:r>
        <w:rPr>
          <w:rFonts w:ascii="Times New Roman" w:hAnsi="Times New Roman" w:eastAsia="Times New Roman" w:cs="Times New Roman"/>
          <w:b w:val="0"/>
          <w:sz w:val="28"/>
        </w:rPr>
        <w:t>”</w:t>
      </w:r>
      <w:r>
        <w:rPr>
          <w:rFonts w:ascii="Times New Roman" w:hAnsi="Times New Roman" w:eastAsia="仿宋" w:cs="Times New Roman"/>
          <w:b w:val="0"/>
          <w:sz w:val="28"/>
        </w:rPr>
        <w:t>）签订资产置换协议，上市公司将所持五家子公司100%股权作为置出资产，换入四家标的公司100%股权。这一结构无需上市公司支付现金。</w:t>
      </w:r>
    </w:p>
    <w:p>
      <w:pPr>
        <w:spacing w:before="0" w:after="0" w:line="240" w:lineRule="auto" w:beforeLines="0" w:afterLines="0"/>
        <w:jc w:val="both"/>
        <w:ind w:firstLineChars="200"/>
      </w:pPr>
      <w:r>
        <w:rPr>
          <w:rFonts w:ascii="Times New Roman" w:hAnsi="Times New Roman" w:eastAsia="仿宋" w:cs="Times New Roman"/>
          <w:b w:val="0"/>
          <w:sz w:val="28"/>
        </w:rPr>
        <w:t>从治理角度看，本次交易构成关联交易，须经董事会和股东会审议，且在股东会表决时，关联方久事集团及其他关联股东应当回避。尽管公告并未详述表决回避情况，但第九届董事会第十九次会议和2026年第二次临时股东会均审议通过，表明该交易获得了必要的内部批准。值得注意的是，置换方案的交割条件设置极为高效：截至2026年6月30日，即公告后约40天，置入和置出标的公司的股东变。</w:t>
      </w:r>
    </w:p>
    <w:p>
      <w:pPr>
        <w:spacing w:before="0" w:after="0" w:line="240" w:lineRule="auto" w:beforeLines="0" w:afterLines="0"/>
        <w:jc w:val="both"/>
        <w:ind w:firstLineChars="200"/>
      </w:pPr>
      <w:r>
        <w:rPr>
          <w:rFonts w:ascii="Times New Roman" w:hAnsi="Times New Roman" w:eastAsia="仿宋" w:cs="Times New Roman"/>
          <w:b w:val="0"/>
          <w:sz w:val="28"/>
        </w:rPr>
        <w:t>资产置换这种结构在本案中承担了多重功能：一是避免上市公司因支付大额现金而加剧财务压力；二是在控股股东体系内完成资产重新划拨，减少税费损耗；三是通过同步换出换入，迅速完成主业切换，避免</w:t>
      </w:r>
      <w:r>
        <w:rPr>
          <w:rFonts w:ascii="Times New Roman" w:hAnsi="Times New Roman" w:eastAsia="Times New Roman" w:cs="Times New Roman"/>
          <w:b w:val="0"/>
          <w:sz w:val="28"/>
        </w:rPr>
        <w:t>“</w:t>
      </w:r>
      <w:r>
        <w:rPr>
          <w:rFonts w:ascii="Times New Roman" w:hAnsi="Times New Roman" w:eastAsia="仿宋" w:cs="Times New Roman"/>
          <w:b w:val="0"/>
          <w:sz w:val="28"/>
        </w:rPr>
        <w:t>先买后卖</w:t>
      </w:r>
      <w:r>
        <w:rPr>
          <w:rFonts w:ascii="Times New Roman" w:hAnsi="Times New Roman" w:eastAsia="Times New Roman" w:cs="Times New Roman"/>
          <w:b w:val="0"/>
          <w:sz w:val="28"/>
        </w:rPr>
        <w:t>”</w:t>
      </w:r>
      <w:r>
        <w:rPr>
          <w:rFonts w:ascii="Times New Roman" w:hAnsi="Times New Roman" w:eastAsia="仿宋" w:cs="Times New Roman"/>
          <w:b w:val="0"/>
          <w:sz w:val="28"/>
        </w:rPr>
        <w:t>可能带来的业务过渡期波动。这使其成为国资体系内部整合一级资产的典型工具选项。</w:t>
      </w:r>
    </w:p>
    <w:p>
      <w:pPr>
        <w:spacing w:before="0" w:after="0" w:line="240" w:lineRule="auto" w:beforeLines="0" w:afterLines="0"/>
        <w:jc w:val="left"/>
        <w:ind w:firstLineChars="200"/>
      </w:pPr>
      <w:r>
        <w:rPr>
          <w:rFonts w:ascii="Times New Roman" w:hAnsi="Times New Roman" w:eastAsia="仿宋" w:cs="Times New Roman"/>
          <w:b/>
          <w:sz w:val="28"/>
        </w:rPr>
        <w:t>三、产业逻辑切换：文体旅游业务在上市平台下的运营与财务含义</w:t>
      </w:r>
    </w:p>
    <w:p>
      <w:pPr>
        <w:spacing w:before="0" w:after="0" w:line="240" w:lineRule="auto" w:beforeLines="0" w:afterLines="0"/>
        <w:jc w:val="both"/>
        <w:ind w:firstLineChars="200"/>
      </w:pPr>
      <w:r>
        <w:rPr>
          <w:rFonts w:ascii="Times New Roman" w:hAnsi="Times New Roman" w:eastAsia="仿宋" w:cs="Times New Roman"/>
          <w:b w:val="0"/>
          <w:sz w:val="28"/>
        </w:rPr>
        <w:t>置入的四家公司分属不同细分领域，但均具有经营性资产的特征。上海久事体育赛事运营管理有限公司主要运营久事集团体系内的大型体育赛事，上海久事体育场馆有限公司则管理体育场馆等基础设施，两者共同构成赛事IP+场馆运营的商业模式，收入来源包括赞助、票务、场馆租赁及配套服务。上海浦江游览集团有限公司经营黄浦江水上旅游，属于稀缺的城市文旅资源，具有牌照壁垒和高客流优势。上海久事演艺有限公司从事文化演出运营，可能与久事文传的产业布局形成协同。</w:t>
      </w:r>
    </w:p>
    <w:p>
      <w:pPr>
        <w:spacing w:before="0" w:after="0" w:line="240" w:lineRule="auto" w:beforeLines="0" w:afterLines="0"/>
        <w:jc w:val="both"/>
        <w:ind w:firstLineChars="200"/>
      </w:pPr>
      <w:r>
        <w:rPr>
          <w:rFonts w:ascii="Times New Roman" w:hAnsi="Times New Roman" w:eastAsia="仿宋" w:cs="Times New Roman"/>
          <w:b w:val="0"/>
          <w:sz w:val="28"/>
        </w:rPr>
        <w:t>与之形成对比，置出的汽车零部件业务不仅面临新能源转型导致的技术迭代压力，而且通常需要持续的研发和产线投资，盈利能力受下游整车厂景气度影响显著。尽管公开资料未提供任何财务数据，但从行业惯例可以定性推断，置入资产在稳定性和分红潜力方面或优于置出资产。本次置换后，上市公司收入结构将从制造业全面转向文体旅游服务业，这对未来估值逻辑、投资者结构及融资能力都将产生深远影。</w:t>
      </w:r>
    </w:p>
    <w:p>
      <w:pPr>
        <w:spacing w:before="0" w:after="0" w:line="240" w:lineRule="auto" w:beforeLines="0" w:afterLines="0"/>
        <w:jc w:val="left"/>
        <w:ind w:firstLineChars="200"/>
      </w:pPr>
      <w:r>
        <w:rPr>
          <w:rFonts w:ascii="Times New Roman" w:hAnsi="Times New Roman" w:eastAsia="仿宋" w:cs="Times New Roman"/>
          <w:b/>
          <w:sz w:val="28"/>
        </w:rPr>
        <w:t>四、程序合规与治理边界：关联交易下的中小股东保护机制观察</w:t>
      </w:r>
    </w:p>
    <w:p>
      <w:pPr>
        <w:spacing w:before="0" w:after="0" w:line="240" w:lineRule="auto" w:beforeLines="0" w:afterLines="0"/>
        <w:jc w:val="both"/>
        <w:ind w:firstLineChars="200"/>
      </w:pPr>
      <w:r>
        <w:rPr>
          <w:rFonts w:ascii="Times New Roman" w:hAnsi="Times New Roman" w:eastAsia="仿宋" w:cs="Times New Roman"/>
          <w:b w:val="0"/>
          <w:sz w:val="28"/>
        </w:rPr>
        <w:t>本案作为关联交易，其审议程序和信息披露是判断合规性的重要维度。公告显示，交运股份第九届董事会第十九次会议和2026年第二次临时股东会先后审议通过了本次资产置换方案，但未披露独立董事意见，也未明确关联股东回避表决的具体情形。在公司治理实践中，资产置换往往涉及评估报告作为定价基础，而评估参数和评估结果的披露对中小股东的知情权至关重要。然而，本次交易公告并未披露任。</w:t>
      </w:r>
    </w:p>
    <w:p>
      <w:pPr>
        <w:spacing w:before="0" w:after="0" w:line="240" w:lineRule="auto" w:beforeLines="0" w:afterLines="0"/>
        <w:jc w:val="both"/>
        <w:ind w:firstLineChars="200"/>
      </w:pPr>
      <w:r>
        <w:rPr>
          <w:rFonts w:ascii="Times New Roman" w:hAnsi="Times New Roman" w:eastAsia="仿宋" w:cs="Times New Roman"/>
          <w:b w:val="0"/>
          <w:sz w:val="28"/>
        </w:rPr>
        <w:t>此外，置出资产中包括烟台中瑞和沈阳中瑞两家子公司，其注册地均不在上海，工商变更的跨地域协调亦需合规考量。公告确认截至2026年6月30日，所有置入和置出标的的股东变更工商登记均已完成，说明至少在法律形式上，股权转移已无障碍。但后续若涉及置入资产的经营控制权移交、管理层留任和业务衔接，仍需关注整合风险。鉴于公开资料有限，无法进一步评估治理安排的完备性，但此次交。</w:t>
      </w:r>
    </w:p>
    <w:p>
      <w:pPr>
        <w:spacing w:before="0" w:after="0" w:line="240" w:lineRule="auto" w:beforeLines="0" w:afterLines="0"/>
        <w:jc w:val="left"/>
        <w:ind w:firstLineChars="200"/>
      </w:pPr>
      <w:r>
        <w:rPr>
          <w:rFonts w:ascii="Times New Roman" w:hAnsi="Times New Roman" w:eastAsia="仿宋" w:cs="Times New Roman"/>
          <w:b/>
          <w:sz w:val="28"/>
        </w:rPr>
        <w:t>五、方法论启示：本案资产置换的高效交割与信息披露短板对同类交易的设计含义</w:t>
      </w:r>
    </w:p>
    <w:p>
      <w:pPr>
        <w:spacing w:before="0" w:after="0" w:line="240" w:lineRule="auto" w:beforeLines="0" w:afterLines="0"/>
        <w:jc w:val="both"/>
        <w:ind w:firstLineChars="200"/>
      </w:pPr>
      <w:r>
        <w:rPr>
          <w:rFonts w:ascii="Times New Roman" w:hAnsi="Times New Roman" w:eastAsia="仿宋" w:cs="Times New Roman"/>
          <w:b w:val="0"/>
          <w:sz w:val="28"/>
        </w:rPr>
        <w:t>交运股份本次交易为国资集团借以上市平台整合一级资产提供了一个清晰范例。从交割效率看，自2026年5月21日公告至7月7日完成交割，仅历时47天，涉及4家置入公司与5家置出公司共计9家公司股权的工商变更与资产交割确认，且全部在2026年6月30日这个关键节点前完成了工商登记，这体现了资产置换在同一控制下交易中极高的行政执行效率。这种</w:t>
      </w:r>
      <w:r>
        <w:rPr>
          <w:rFonts w:ascii="Times New Roman" w:hAnsi="Times New Roman" w:eastAsia="Times New Roman" w:cs="Times New Roman"/>
          <w:b w:val="0"/>
          <w:sz w:val="28"/>
        </w:rPr>
        <w:t>“</w:t>
      </w:r>
      <w:r>
        <w:rPr>
          <w:rFonts w:ascii="Times New Roman" w:hAnsi="Times New Roman" w:eastAsia="仿宋" w:cs="Times New Roman"/>
          <w:b w:val="0"/>
          <w:sz w:val="28"/>
        </w:rPr>
        <w:t>换血式</w:t>
      </w:r>
      <w:r>
        <w:rPr>
          <w:rFonts w:ascii="Times New Roman" w:hAnsi="Times New Roman" w:eastAsia="Times New Roman" w:cs="Times New Roman"/>
          <w:b w:val="0"/>
          <w:sz w:val="28"/>
        </w:rPr>
        <w:t>”</w:t>
      </w:r>
      <w:r>
        <w:rPr>
          <w:rFonts w:ascii="Times New Roman" w:hAnsi="Times New Roman" w:eastAsia="仿宋" w:cs="Times New Roman"/>
          <w:b w:val="0"/>
          <w:sz w:val="28"/>
        </w:rPr>
        <w:t>资产置换相比分拆上市或现金收购，具有效率高、税负成本低、有利于保持控股股东地位等优点。</w:t>
      </w:r>
    </w:p>
    <w:p>
      <w:pPr>
        <w:spacing w:before="0" w:after="0" w:line="240" w:lineRule="auto" w:beforeLines="0" w:afterLines="0"/>
        <w:jc w:val="both"/>
        <w:ind w:firstLineChars="200"/>
      </w:pPr>
      <w:r>
        <w:rPr>
          <w:rFonts w:ascii="Times New Roman" w:hAnsi="Times New Roman" w:eastAsia="仿宋" w:cs="Times New Roman"/>
          <w:b w:val="0"/>
          <w:sz w:val="28"/>
        </w:rPr>
        <w:t>然而，本案也暴露了信息披露的显著短板：不仅未披露交易金额，亦未公开资产评估报告、标的财务数据及置换差额的现金补足安排，外部投资者无法判断交易公允性。对于拟采用同类结构的交易方，本案事实可推导出以下可操作的启示：其一，在置换方案设计阶段，应明确以独立第三方评估值为基础确定置换比例，并在公告中披露主要评估参数，以避免定价不透明的质疑；其二，交割安排应设置同步机制。</w:t>
      </w:r>
    </w:p>
    <w:p>
      <w:pPr>
        <w:spacing w:before="0" w:after="0" w:line="240" w:lineRule="auto" w:beforeLines="0" w:afterLines="0"/>
        <w:jc w:val="left"/>
        <w:ind w:firstLineChars="200"/>
      </w:pPr>
      <w:r>
        <w:rPr>
          <w:rFonts w:ascii="Times New Roman" w:hAnsi="Times New Roman" w:eastAsia="仿宋" w:cs="Times New Roman"/>
          <w:b/>
          <w:sz w:val="28"/>
        </w:rPr>
        <w:t>六、结语：股权比例与治理安排的核验方法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交运股份与久事集团及关联方之间的资产置换，通过9家公司股权的同步换出换入，在47天内完成了从传统汽车零部件制造到文体赛事与旅游运营的主业彻底切换。这一交易为控股股东一级文旅资产提供了快速的资本化通道，同时使上市公司业务结构发生了根本性转变。公开资料未披露交易金额与标的财务数据，留下定价公允性和中小股东保护的疑问，但交易的高效交割和工商变更的无障碍完成，又从事实上验证了同一控制下资产置换的操作可行性。</w:t>
      </w:r>
    </w:p>
    <w:p>
      <w:pPr>
        <w:spacing w:before="0" w:after="0" w:line="240" w:lineRule="auto" w:beforeLines="0" w:afterLines="0"/>
        <w:jc w:val="both"/>
        <w:ind w:firstLineChars="200"/>
      </w:pPr>
      <w:r>
        <w:rPr>
          <w:rFonts w:ascii="Times New Roman" w:hAnsi="Times New Roman" w:eastAsia="仿宋" w:cs="Times New Roman"/>
          <w:b w:val="0"/>
          <w:sz w:val="28"/>
        </w:rPr>
        <w:t>本案的方法论意义在于，它表明资产置换可以成为国资体系内兼顾主业转型与资产证券化的高效工具，但其可复制性高度依赖信息披露的完备度和治理程序的严谨性。交运股份案例推导出的启示是：在设计同类置换时，必须将定价透明化与交割同步化置于同等重要的位置，并针对置入资产的特许经营特征预先构建业务衔接计划，否则高速交割可能掩盖长期整合风险。置入的四家文体旅游公司能否在交运股份平台上产生持续稳定的经营表现，仍需后续定期报告给出答案。</w:t>
      </w:r>
    </w:p>
    <w:p>
      <w:pPr>
        <w:spacing w:before="0" w:after="0" w:line="240" w:lineRule="auto" w:beforeLines="0" w:afterLines="0"/>
        <w:jc w:val="both"/>
        <w:ind w:firstLineChars="200"/>
      </w:pPr>
      <w:r>
        <w:rPr>
          <w:rFonts w:ascii="Times New Roman" w:hAnsi="Times New Roman" w:eastAsia="仿宋" w:cs="Times New Roman"/>
          <w:b w:val="0"/>
          <w:sz w:val="28"/>
        </w:rPr>
        <w:t>回到上海交运集团与上海久事体育赛事运营，本案的方法论意义不在于把交易结果写成通用并购总结，而在于把公开资料未披露（公告仅披露置入标的100%股权，未披露具体交易金额）、置入标的：4家公司100%股权（赛事运营、场馆、浦江游览、演艺）；置出标的：5家公司100%股权（汽车动力、冲压件、烟台中瑞、沈阳中瑞、英诺维）；签署资产交割确认书日期：2026-07-03；工商登记完成日期：2026-06-30、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交运集团而言，关键是交割承接和整合节奏能否与已披露安排匹配；对上海久事体育赛事运营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