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国家电投集团水电收购国家电投集团内水电资：现金支付与业务承接</w:t>
      </w:r>
    </w:p>
    <w:p>
      <w:pPr>
        <w:spacing w:before="0" w:after="0" w:line="240" w:lineRule="auto" w:beforeLines="0" w:afterLines="0"/>
        <w:jc w:val="both"/>
        <w:ind w:firstLineChars="200"/>
      </w:pPr>
      <w:r>
        <w:rPr>
          <w:rFonts w:ascii="Times New Roman" w:hAnsi="Times New Roman" w:eastAsia="仿宋" w:cs="Times New Roman"/>
          <w:b w:val="0"/>
          <w:sz w:val="28"/>
        </w:rPr>
        <w:t>本案例涉及国家电投集团水电股份有限公司（下称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国家电投水电</w:t>
      </w:r>
      <w:r>
        <w:rPr>
          <w:rFonts w:ascii="Times New Roman" w:hAnsi="Times New Roman" w:eastAsia="Times New Roman" w:cs="Times New Roman"/>
          <w:b w:val="0"/>
          <w:sz w:val="28"/>
        </w:rPr>
        <w:t>”</w:t>
      </w:r>
      <w:r>
        <w:rPr>
          <w:rFonts w:ascii="Times New Roman" w:hAnsi="Times New Roman" w:eastAsia="仿宋" w:cs="Times New Roman"/>
          <w:b w:val="0"/>
          <w:sz w:val="28"/>
        </w:rPr>
        <w:t>）收购国家电投集团内水电资产（下称</w:t>
      </w:r>
      <w:r>
        <w:rPr>
          <w:rFonts w:ascii="Times New Roman" w:hAnsi="Times New Roman" w:eastAsia="Times New Roman" w:cs="Times New Roman"/>
          <w:b w:val="0"/>
          <w:sz w:val="28"/>
        </w:rPr>
        <w:t>“</w:t>
      </w:r>
      <w:r>
        <w:rPr>
          <w:rFonts w:ascii="Times New Roman" w:hAnsi="Times New Roman" w:eastAsia="仿宋" w:cs="Times New Roman"/>
          <w:b w:val="0"/>
          <w:sz w:val="28"/>
        </w:rPr>
        <w:t>国家电投内水电资产</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国家电投水电发行股份及支付现金收购集团内水电资产，整合上市平台同类资源》，目标线索为国家电投水电发行股份及支付现金收购集团内水电资产，整合上市平台同类资源。。2026年7月31日，国家电投集团水电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电投水电</w:t>
      </w:r>
      <w:r>
        <w:rPr>
          <w:rFonts w:ascii="Times New Roman" w:hAnsi="Times New Roman" w:eastAsia="Times New Roman" w:cs="Times New Roman"/>
          <w:b w:val="0"/>
          <w:sz w:val="28"/>
        </w:rPr>
        <w:t>”</w:t>
      </w:r>
      <w:r>
        <w:rPr>
          <w:rFonts w:ascii="Times New Roman" w:hAnsi="Times New Roman" w:eastAsia="仿宋" w:cs="Times New Roman"/>
          <w:b w:val="0"/>
          <w:sz w:val="28"/>
        </w:rPr>
        <w:t>，600292.SH）刊发《实施情况暨新增股份上市公告书》，完成对五凌电力有限公司（下称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五凌电力</w:t>
      </w:r>
      <w:r>
        <w:rPr>
          <w:rFonts w:ascii="Times New Roman" w:hAnsi="Times New Roman" w:eastAsia="Times New Roman" w:cs="Times New Roman"/>
          <w:b w:val="0"/>
          <w:sz w:val="28"/>
        </w:rPr>
        <w:t>”</w:t>
      </w:r>
      <w:r>
        <w:rPr>
          <w:rFonts w:ascii="Times New Roman" w:hAnsi="Times New Roman" w:eastAsia="仿宋" w:cs="Times New Roman"/>
          <w:b w:val="0"/>
          <w:sz w:val="28"/>
        </w:rPr>
        <w:t>）100%股权及国家电投集团广西长洲水电开发有限公司（下称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长洲水电</w:t>
      </w:r>
      <w:r>
        <w:rPr>
          <w:rFonts w:ascii="Times New Roman" w:hAnsi="Times New Roman" w:eastAsia="Times New Roman" w:cs="Times New Roman"/>
          <w:b w:val="0"/>
          <w:sz w:val="28"/>
        </w:rPr>
        <w:t>”</w:t>
      </w:r>
      <w:r>
        <w:rPr>
          <w:rFonts w:ascii="Times New Roman" w:hAnsi="Times New Roman" w:eastAsia="仿宋" w:cs="Times New Roman"/>
          <w:b w:val="0"/>
          <w:sz w:val="28"/>
        </w:rPr>
        <w:t>）64.93%股权的收购。</w:t>
      </w:r>
    </w:p>
    <w:p>
      <w:pPr>
        <w:spacing w:before="0" w:after="0" w:line="240" w:lineRule="auto" w:beforeLines="0" w:afterLines="0"/>
        <w:jc w:val="left"/>
        <w:ind w:firstLineChars="200"/>
      </w:pPr>
      <w:r>
        <w:rPr>
          <w:rFonts w:ascii="Times New Roman" w:hAnsi="Times New Roman" w:eastAsia="仿宋" w:cs="Times New Roman"/>
          <w:b/>
          <w:sz w:val="28"/>
        </w:rPr>
        <w:t>一、交易前双轨格局：环保主业与待注入水电资产的分置</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现金支付；发行股份及支付现金；时间线包括2026-07-31：完成本次交易并披露《实施情况暨新增股份上市公告书》；交易状态/完成年份：2026-07-31；关键数字包括五凌电力100%股权（中国电力63%、湘投国际37%）；长洲水电64.93%股权（广西公司）；拟向不超过35名特定投资者发行股份募集配套资；交易前，上市平台以</w:t>
      </w:r>
      <w:r>
        <w:rPr>
          <w:rFonts w:ascii="Times New Roman" w:hAnsi="Times New Roman" w:eastAsia="Times New Roman" w:cs="Times New Roman"/>
          <w:b w:val="0"/>
          <w:sz w:val="28"/>
        </w:rPr>
        <w:t>“</w:t>
      </w:r>
      <w:r>
        <w:rPr>
          <w:rFonts w:ascii="Times New Roman" w:hAnsi="Times New Roman" w:eastAsia="仿宋" w:cs="Times New Roman"/>
          <w:b w:val="0"/>
          <w:sz w:val="28"/>
        </w:rPr>
        <w:t>国家电投集团远达环保股份有限公司</w:t>
      </w:r>
      <w:r>
        <w:rPr>
          <w:rFonts w:ascii="Times New Roman" w:hAnsi="Times New Roman" w:eastAsia="Times New Roman" w:cs="Times New Roman"/>
          <w:b w:val="0"/>
          <w:sz w:val="28"/>
        </w:rPr>
        <w:t>”</w:t>
      </w:r>
      <w:r>
        <w:rPr>
          <w:rFonts w:ascii="Times New Roman" w:hAnsi="Times New Roman" w:eastAsia="仿宋" w:cs="Times New Roman"/>
          <w:b w:val="0"/>
          <w:sz w:val="28"/>
        </w:rPr>
        <w:t>身份存续，主营业务集中于烟气治理、水处理等环保领域。与此同时，国家电投集团内水电资产（下称</w:t>
      </w:r>
      <w:r>
        <w:rPr>
          <w:rFonts w:ascii="Times New Roman" w:hAnsi="Times New Roman" w:eastAsia="Times New Roman" w:cs="Times New Roman"/>
          <w:b w:val="0"/>
          <w:sz w:val="28"/>
        </w:rPr>
        <w:t>“</w:t>
      </w:r>
      <w:r>
        <w:rPr>
          <w:rFonts w:ascii="Times New Roman" w:hAnsi="Times New Roman" w:eastAsia="仿宋" w:cs="Times New Roman"/>
          <w:b w:val="0"/>
          <w:sz w:val="28"/>
        </w:rPr>
        <w:t>国家电投内水电资产</w:t>
      </w:r>
      <w:r>
        <w:rPr>
          <w:rFonts w:ascii="Times New Roman" w:hAnsi="Times New Roman" w:eastAsia="Times New Roman" w:cs="Times New Roman"/>
          <w:b w:val="0"/>
          <w:sz w:val="28"/>
        </w:rPr>
        <w:t>”</w:t>
      </w:r>
      <w:r>
        <w:rPr>
          <w:rFonts w:ascii="Times New Roman" w:hAnsi="Times New Roman" w:eastAsia="仿宋" w:cs="Times New Roman"/>
          <w:b w:val="0"/>
          <w:sz w:val="28"/>
        </w:rPr>
        <w:t>）分布零散：中国电力国际发展有限公司（下称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中国电力</w:t>
      </w:r>
      <w:r>
        <w:rPr>
          <w:rFonts w:ascii="Times New Roman" w:hAnsi="Times New Roman" w:eastAsia="Times New Roman" w:cs="Times New Roman"/>
          <w:b w:val="0"/>
          <w:sz w:val="28"/>
        </w:rPr>
        <w:t>”</w:t>
      </w:r>
      <w:r>
        <w:rPr>
          <w:rFonts w:ascii="Times New Roman" w:hAnsi="Times New Roman" w:eastAsia="仿宋" w:cs="Times New Roman"/>
          <w:b w:val="0"/>
          <w:sz w:val="28"/>
        </w:rPr>
        <w:t>）与湖南湘投国际投资有限公司（下称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湘投国际</w:t>
      </w:r>
      <w:r>
        <w:rPr>
          <w:rFonts w:ascii="Times New Roman" w:hAnsi="Times New Roman" w:eastAsia="Times New Roman" w:cs="Times New Roman"/>
          <w:b w:val="0"/>
          <w:sz w:val="28"/>
        </w:rPr>
        <w:t>”</w:t>
      </w:r>
      <w:r>
        <w:rPr>
          <w:rFonts w:ascii="Times New Roman" w:hAnsi="Times New Roman" w:eastAsia="仿宋" w:cs="Times New Roman"/>
          <w:b w:val="0"/>
          <w:sz w:val="28"/>
        </w:rPr>
        <w:t>）分别持有五凌电力63%与37%股权；国家电投集团广西电力有限公司（下称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广西公司</w:t>
      </w:r>
      <w:r>
        <w:rPr>
          <w:rFonts w:ascii="Times New Roman" w:hAnsi="Times New Roman" w:eastAsia="Times New Roman" w:cs="Times New Roman"/>
          <w:b w:val="0"/>
          <w:sz w:val="28"/>
        </w:rPr>
        <w:t>”</w:t>
      </w:r>
      <w:r>
        <w:rPr>
          <w:rFonts w:ascii="Times New Roman" w:hAnsi="Times New Roman" w:eastAsia="仿宋" w:cs="Times New Roman"/>
          <w:b w:val="0"/>
          <w:sz w:val="28"/>
        </w:rPr>
        <w:t>）则持有长。</w:t>
      </w:r>
    </w:p>
    <w:p>
      <w:pPr>
        <w:spacing w:before="0" w:after="0" w:line="240" w:lineRule="auto" w:beforeLines="0" w:afterLines="0"/>
        <w:jc w:val="both"/>
        <w:ind w:firstLineChars="200"/>
      </w:pPr>
      <w:r>
        <w:rPr>
          <w:rFonts w:ascii="Times New Roman" w:hAnsi="Times New Roman" w:eastAsia="仿宋" w:cs="Times New Roman"/>
          <w:b w:val="0"/>
          <w:sz w:val="28"/>
        </w:rPr>
        <w:t>本次交易由电投水电（时称远达环保）通过董事会、股东大会审议，并与交易对方签署附条件生效的发行股份及支付现金购买资产协议后发起，经中国证监会审核通过。公开资料未披露发起的主观动机，但基于已披露条款可客观推断：交易旨在将集团内分散的水电资产集中注入同一上市平台，消除潜在同业竞争，提升资产证券化率，并实现主业向清洁能源转型。独立财务顾问中国国际金融股份有限公司与中信建投证券股份有限公司全程参与，确保程序合规。</w:t>
      </w:r>
    </w:p>
    <w:p>
      <w:pPr>
        <w:spacing w:before="0" w:after="0" w:line="240" w:lineRule="auto" w:beforeLines="0" w:afterLines="0"/>
        <w:jc w:val="left"/>
        <w:ind w:firstLineChars="200"/>
      </w:pPr>
      <w:r>
        <w:rPr>
          <w:rFonts w:ascii="Times New Roman" w:hAnsi="Times New Roman" w:eastAsia="仿宋" w:cs="Times New Roman"/>
          <w:b/>
          <w:sz w:val="28"/>
        </w:rPr>
        <w:t>二、交易方案：全资收购与控股收购的组合策略</w:t>
      </w:r>
    </w:p>
    <w:p>
      <w:pPr>
        <w:spacing w:before="0" w:after="0" w:line="240" w:lineRule="auto" w:beforeLines="0" w:afterLines="0"/>
        <w:jc w:val="both"/>
        <w:ind w:firstLineChars="200"/>
      </w:pPr>
      <w:r>
        <w:rPr>
          <w:rFonts w:ascii="Times New Roman" w:hAnsi="Times New Roman" w:eastAsia="仿宋" w:cs="Times New Roman"/>
          <w:b w:val="0"/>
          <w:sz w:val="28"/>
        </w:rPr>
        <w:t>交易方案由发行股份及支付现金购买资产与募集配套资金两部分组成。电投水电向中国电力购买其持有的五凌电力63%股权，向湘投国际购买五凌电力37%股权，合计取得五凌电力100%股权；同时向广西公司购买长洲水电64.93%股权。支付方式为发行A股普通股及支付现金，并拟向不超过35名特定投资者发行股份募集配套资金，用于支付现金对价及补充流动资金。交易于2026年7月完成股权过户与新增股份登记，上市公司同步更名为电投水电。</w:t>
      </w:r>
    </w:p>
    <w:p>
      <w:pPr>
        <w:spacing w:before="0" w:after="0" w:line="240" w:lineRule="auto" w:beforeLines="0" w:afterLines="0"/>
        <w:jc w:val="both"/>
        <w:ind w:firstLineChars="200"/>
      </w:pPr>
      <w:r>
        <w:rPr>
          <w:rFonts w:ascii="Times New Roman" w:hAnsi="Times New Roman" w:eastAsia="仿宋" w:cs="Times New Roman"/>
          <w:b w:val="0"/>
          <w:sz w:val="28"/>
        </w:rPr>
        <w:t>标的股权的选择结构体现明确整合意图。五凌电力被全资收购，可消除少数股东权益带来的决策摩擦，便于后续管理整合；长洲水电仅收购控股权，保留广西公司少数股权，可能出于维持地方合作纽带、降低单笔交易对价或为后续分步收购预留空间的考虑。公开资料未披露具体交易金额与估值倍数，但</w:t>
      </w:r>
      <w:r>
        <w:rPr>
          <w:rFonts w:ascii="Times New Roman" w:hAnsi="Times New Roman" w:eastAsia="Times New Roman" w:cs="Times New Roman"/>
          <w:b w:val="0"/>
          <w:sz w:val="28"/>
        </w:rPr>
        <w:t>“</w:t>
      </w:r>
      <w:r>
        <w:rPr>
          <w:rFonts w:ascii="Times New Roman" w:hAnsi="Times New Roman" w:eastAsia="仿宋" w:cs="Times New Roman"/>
          <w:b w:val="0"/>
          <w:sz w:val="28"/>
        </w:rPr>
        <w:t>发行股份及支付现金</w:t>
      </w:r>
      <w:r>
        <w:rPr>
          <w:rFonts w:ascii="Times New Roman" w:hAnsi="Times New Roman" w:eastAsia="Times New Roman" w:cs="Times New Roman"/>
          <w:b w:val="0"/>
          <w:sz w:val="28"/>
        </w:rPr>
        <w:t>”</w:t>
      </w:r>
      <w:r>
        <w:rPr>
          <w:rFonts w:ascii="Times New Roman" w:hAnsi="Times New Roman" w:eastAsia="仿宋" w:cs="Times New Roman"/>
          <w:b w:val="0"/>
          <w:sz w:val="28"/>
        </w:rPr>
        <w:t>的定性表述本身已表明交易对价达到重大资产重组标准。这种</w:t>
      </w:r>
      <w:r>
        <w:rPr>
          <w:rFonts w:ascii="Times New Roman" w:hAnsi="Times New Roman" w:eastAsia="Times New Roman" w:cs="Times New Roman"/>
          <w:b w:val="0"/>
          <w:sz w:val="28"/>
        </w:rPr>
        <w:t>“</w:t>
      </w:r>
      <w:r>
        <w:rPr>
          <w:rFonts w:ascii="Times New Roman" w:hAnsi="Times New Roman" w:eastAsia="仿宋" w:cs="Times New Roman"/>
          <w:b w:val="0"/>
          <w:sz w:val="28"/>
        </w:rPr>
        <w:t>全资+控股</w:t>
      </w:r>
      <w:r>
        <w:rPr>
          <w:rFonts w:ascii="Times New Roman" w:hAnsi="Times New Roman" w:eastAsia="Times New Roman" w:cs="Times New Roman"/>
          <w:b w:val="0"/>
          <w:sz w:val="28"/>
        </w:rPr>
        <w:t>”</w:t>
      </w:r>
      <w:r>
        <w:rPr>
          <w:rFonts w:ascii="Times New Roman" w:hAnsi="Times New Roman" w:eastAsia="仿宋" w:cs="Times New Roman"/>
          <w:b w:val="0"/>
          <w:sz w:val="28"/>
        </w:rPr>
        <w:t>的组。</w:t>
      </w:r>
    </w:p>
    <w:p>
      <w:pPr>
        <w:spacing w:before="0" w:after="0" w:line="240" w:lineRule="auto" w:beforeLines="0" w:afterLines="0"/>
        <w:jc w:val="left"/>
        <w:ind w:firstLineChars="200"/>
      </w:pPr>
      <w:r>
        <w:rPr>
          <w:rFonts w:ascii="Times New Roman" w:hAnsi="Times New Roman" w:eastAsia="仿宋" w:cs="Times New Roman"/>
          <w:b/>
          <w:sz w:val="28"/>
        </w:rPr>
        <w:t>三、混合支付的平衡：股份与现金的财务逻辑</w:t>
      </w:r>
    </w:p>
    <w:p>
      <w:pPr>
        <w:spacing w:before="0" w:after="0" w:line="240" w:lineRule="auto" w:beforeLines="0" w:afterLines="0"/>
        <w:jc w:val="both"/>
        <w:ind w:firstLineChars="200"/>
      </w:pPr>
      <w:r>
        <w:rPr>
          <w:rFonts w:ascii="Times New Roman" w:hAnsi="Times New Roman" w:eastAsia="Times New Roman" w:cs="Times New Roman"/>
          <w:b w:val="0"/>
          <w:sz w:val="28"/>
        </w:rPr>
        <w:t>“</w:t>
      </w:r>
      <w:r>
        <w:rPr>
          <w:rFonts w:ascii="Times New Roman" w:hAnsi="Times New Roman" w:eastAsia="仿宋" w:cs="Times New Roman"/>
          <w:b w:val="0"/>
          <w:sz w:val="28"/>
        </w:rPr>
        <w:t>发行股份及支付现金</w:t>
      </w:r>
      <w:r>
        <w:rPr>
          <w:rFonts w:ascii="Times New Roman" w:hAnsi="Times New Roman" w:eastAsia="Times New Roman" w:cs="Times New Roman"/>
          <w:b w:val="0"/>
          <w:sz w:val="28"/>
        </w:rPr>
        <w:t>”</w:t>
      </w:r>
      <w:r>
        <w:rPr>
          <w:rFonts w:ascii="Times New Roman" w:hAnsi="Times New Roman" w:eastAsia="仿宋" w:cs="Times New Roman"/>
          <w:b w:val="0"/>
          <w:sz w:val="28"/>
        </w:rPr>
        <w:t>的支付结构，本质上在交易双方利益诉求间寻求多目标平衡。对转让方中国电力、湘投国际与广西公司而言，接受上市公司股份可继续分享整合后的长期价值增长，现金部分则满足部分投资回报提前兑现或集团内部考核要求；对上市公司而言，全股份支付虽保留现金，但会大幅摊薄原有股东权益，全现金支付则直接推升负债率、挤占运营资金。混合支付在两个极端之间找到中间路径。</w:t>
      </w:r>
    </w:p>
    <w:p>
      <w:pPr>
        <w:spacing w:before="0" w:after="0" w:line="240" w:lineRule="auto" w:beforeLines="0" w:afterLines="0"/>
        <w:jc w:val="both"/>
        <w:ind w:firstLineChars="200"/>
      </w:pPr>
      <w:r>
        <w:rPr>
          <w:rFonts w:ascii="Times New Roman" w:hAnsi="Times New Roman" w:eastAsia="仿宋" w:cs="Times New Roman"/>
          <w:b w:val="0"/>
          <w:sz w:val="28"/>
        </w:rPr>
        <w:t>水电资产重资产、长周期的属性决定了并购后并表会明显改变上市公司的资产负债结构。尽管公开资料未披露具体财务数据，但从一般逻辑看，五凌电力与长洲水电均具备稳定的经营性现金流，收购后上市公司盈利质量将提升，为后续债务融资或资本运作提供基础。交易完成后国家电投集团作为实际控制人的地位未变，上市公司治理独立性亦未削弱，这使得混合支付结构在保持控制权稳定的同时，完成了跨主体利益绑定。</w:t>
      </w:r>
    </w:p>
    <w:p>
      <w:pPr>
        <w:spacing w:before="0" w:after="0" w:line="240" w:lineRule="auto" w:beforeLines="0" w:afterLines="0"/>
        <w:jc w:val="left"/>
        <w:ind w:firstLineChars="200"/>
      </w:pPr>
      <w:r>
        <w:rPr>
          <w:rFonts w:ascii="Times New Roman" w:hAnsi="Times New Roman" w:eastAsia="仿宋" w:cs="Times New Roman"/>
          <w:b/>
          <w:sz w:val="28"/>
        </w:rPr>
        <w:t>四、关联交易的公允性防线：评估、治理与补偿机制</w:t>
      </w:r>
    </w:p>
    <w:p>
      <w:pPr>
        <w:spacing w:before="0" w:after="0" w:line="240" w:lineRule="auto" w:beforeLines="0" w:afterLines="0"/>
        <w:jc w:val="both"/>
        <w:ind w:firstLineChars="200"/>
      </w:pPr>
      <w:r>
        <w:rPr>
          <w:rFonts w:ascii="Times New Roman" w:hAnsi="Times New Roman" w:eastAsia="仿宋" w:cs="Times New Roman"/>
          <w:b w:val="0"/>
          <w:sz w:val="28"/>
        </w:rPr>
        <w:t>交易对方中国电力、广西公司为国家电投集团关联企业，湘投国际亦具集团背景，本次交易构成关联交易，监管与市场关注焦点集中于定价公允性。公开资料显示，北京天健兴业资产评估有限公司对标的资产进行评估，致同会计师事务所担任验资机构，独立财务顾问对定价公允性发表意见；上市公司董事会中关联董事回避表决，独立董事出具事前认可与独立意见，程序上形成多层防线。尽管评估参数与交易。</w:t>
      </w:r>
    </w:p>
    <w:p>
      <w:pPr>
        <w:spacing w:before="0" w:after="0" w:line="240" w:lineRule="auto" w:beforeLines="0" w:afterLines="0"/>
        <w:jc w:val="both"/>
        <w:ind w:firstLineChars="200"/>
      </w:pPr>
      <w:r>
        <w:rPr>
          <w:rFonts w:ascii="Times New Roman" w:hAnsi="Times New Roman" w:eastAsia="仿宋" w:cs="Times New Roman"/>
          <w:b w:val="0"/>
          <w:sz w:val="28"/>
        </w:rPr>
        <w:t>关联交易公允性不仅依赖评估技术，还依赖支付安排中是否嵌入对中小股东有利的补偿机制。重组报告书或已包含业绩承诺与补偿条款，尽管上市公告书未详细摘录。交易完成后，上市公司主业发生根本性变化，管理层需具备水电行业专业经验，后续人员安置与业务衔接同样是公允性考量的延伸。上市公司独立性并未因集团内整合而受损，电投水电作为独立法人，仍需严格遵守上市规则与关联交易决策制度，这是持续整合同类资产必须坚守的治理边界。</w:t>
      </w:r>
    </w:p>
    <w:p>
      <w:pPr>
        <w:spacing w:before="0" w:after="0" w:line="240" w:lineRule="auto" w:beforeLines="0" w:afterLines="0"/>
        <w:jc w:val="left"/>
        <w:ind w:firstLineChars="200"/>
      </w:pPr>
      <w:r>
        <w:rPr>
          <w:rFonts w:ascii="Times New Roman" w:hAnsi="Times New Roman" w:eastAsia="仿宋" w:cs="Times New Roman"/>
          <w:b/>
          <w:sz w:val="28"/>
        </w:rPr>
        <w:t>五、产业整合路径：平台+注入模式与分步节奏</w:t>
      </w:r>
    </w:p>
    <w:p>
      <w:pPr>
        <w:spacing w:before="0" w:after="0" w:line="240" w:lineRule="auto" w:beforeLines="0" w:afterLines="0"/>
        <w:jc w:val="both"/>
        <w:ind w:firstLineChars="200"/>
      </w:pPr>
      <w:r>
        <w:rPr>
          <w:rFonts w:ascii="Times New Roman" w:hAnsi="Times New Roman" w:eastAsia="仿宋" w:cs="Times New Roman"/>
          <w:b w:val="0"/>
          <w:sz w:val="28"/>
        </w:rPr>
        <w:t>将五凌电力与长洲水电注入同一上市平台，并非简单的报表合并，而是国家电投集团对旗下水电资产进行板块化梳理的关键一步。电投水电由此成为集团内水电业务的旗舰上市公司，未来可继续承接其他水电资产，形成</w:t>
      </w:r>
      <w:r>
        <w:rPr>
          <w:rFonts w:ascii="Times New Roman" w:hAnsi="Times New Roman" w:eastAsia="Times New Roman" w:cs="Times New Roman"/>
          <w:b w:val="0"/>
          <w:sz w:val="28"/>
        </w:rPr>
        <w:t>“</w:t>
      </w:r>
      <w:r>
        <w:rPr>
          <w:rFonts w:ascii="Times New Roman" w:hAnsi="Times New Roman" w:eastAsia="仿宋" w:cs="Times New Roman"/>
          <w:b w:val="0"/>
          <w:sz w:val="28"/>
        </w:rPr>
        <w:t>成熟平台+持续注入</w:t>
      </w:r>
      <w:r>
        <w:rPr>
          <w:rFonts w:ascii="Times New Roman" w:hAnsi="Times New Roman" w:eastAsia="Times New Roman" w:cs="Times New Roman"/>
          <w:b w:val="0"/>
          <w:sz w:val="28"/>
        </w:rPr>
        <w:t>”</w:t>
      </w:r>
      <w:r>
        <w:rPr>
          <w:rFonts w:ascii="Times New Roman" w:hAnsi="Times New Roman" w:eastAsia="仿宋" w:cs="Times New Roman"/>
          <w:b w:val="0"/>
          <w:sz w:val="28"/>
        </w:rPr>
        <w:t>的整合模式。该模式在大型能源央企中具有可复制性：以上市平台为载体，逐步吸纳集团内同质资产，既能解决同业竞争，又能提升资产证券化率，并借助资本市场为国有资产提供更合理的价值参照。</w:t>
      </w:r>
    </w:p>
    <w:p>
      <w:pPr>
        <w:spacing w:before="0" w:after="0" w:line="240" w:lineRule="auto" w:beforeLines="0" w:afterLines="0"/>
        <w:jc w:val="both"/>
        <w:ind w:firstLineChars="200"/>
      </w:pPr>
      <w:r>
        <w:rPr>
          <w:rFonts w:ascii="Times New Roman" w:hAnsi="Times New Roman" w:eastAsia="仿宋" w:cs="Times New Roman"/>
          <w:b w:val="0"/>
          <w:sz w:val="28"/>
        </w:rPr>
        <w:t>资产注入后的协同潜力体现在运营与财务两个维度。统一平台可进行流域调度、集中采购与融资，降低单位运维成本；资本市场直接融资功能也为后续独立融资或再并购创造条件。公开资料未披露五凌电力与长洲水电的具体装机容量或年发电量，但作为成熟项目，其产能规模足以支撑上市公司主业定位。交易仅收购长洲水电64.93%股权，暗示未来可能继续由广西公司将剩余股权注入，或以其他方式实。</w:t>
      </w:r>
    </w:p>
    <w:p>
      <w:pPr>
        <w:spacing w:before="0" w:after="0" w:line="240" w:lineRule="auto" w:beforeLines="0" w:afterLines="0"/>
        <w:jc w:val="left"/>
        <w:ind w:firstLineChars="200"/>
      </w:pPr>
      <w:r>
        <w:rPr>
          <w:rFonts w:ascii="Times New Roman" w:hAnsi="Times New Roman" w:eastAsia="仿宋" w:cs="Times New Roman"/>
          <w:b/>
          <w:sz w:val="28"/>
        </w:rPr>
        <w:t>六、结语：现金支付与业务承接的核验方法</w:t>
      </w:r>
    </w:p>
    <w:p>
      <w:pPr>
        <w:spacing w:before="0" w:after="0" w:line="240" w:lineRule="auto" w:beforeLines="0" w:afterLines="0"/>
        <w:jc w:val="both"/>
        <w:ind w:firstLineChars="200"/>
      </w:pPr>
      <w:r>
        <w:rPr>
          <w:rFonts w:ascii="Times New Roman" w:hAnsi="Times New Roman" w:eastAsia="仿宋" w:cs="Times New Roman"/>
          <w:b w:val="0"/>
          <w:sz w:val="28"/>
        </w:rPr>
        <w:t>电投水电收购集团内水电资产的交易，在方法论层面提供了同一控制下产业整合的标准样本。其起点是原环保主业增长受限的上市平台与集团内分散的优质水电资产并存，这构成整合的基本前提。交易结构上，混合支付实现了利益绑定与现金需求的平衡，配套融资引入外部监督，防止大股东单方面定价；标的选择上，</w:t>
      </w:r>
      <w:r>
        <w:rPr>
          <w:rFonts w:ascii="Times New Roman" w:hAnsi="Times New Roman" w:eastAsia="Times New Roman" w:cs="Times New Roman"/>
          <w:b w:val="0"/>
          <w:sz w:val="28"/>
        </w:rPr>
        <w:t>“</w:t>
      </w:r>
      <w:r>
        <w:rPr>
          <w:rFonts w:ascii="Times New Roman" w:hAnsi="Times New Roman" w:eastAsia="仿宋" w:cs="Times New Roman"/>
          <w:b w:val="0"/>
          <w:sz w:val="28"/>
        </w:rPr>
        <w:t>全资+控股</w:t>
      </w:r>
      <w:r>
        <w:rPr>
          <w:rFonts w:ascii="Times New Roman" w:hAnsi="Times New Roman" w:eastAsia="Times New Roman" w:cs="Times New Roman"/>
          <w:b w:val="0"/>
          <w:sz w:val="28"/>
        </w:rPr>
        <w:t>”</w:t>
      </w:r>
      <w:r>
        <w:rPr>
          <w:rFonts w:ascii="Times New Roman" w:hAnsi="Times New Roman" w:eastAsia="仿宋" w:cs="Times New Roman"/>
          <w:b w:val="0"/>
          <w:sz w:val="28"/>
        </w:rPr>
        <w:t>的分步收购既保证控制力，又预留后续整合弹性。这些安排均围绕</w:t>
      </w:r>
      <w:r>
        <w:rPr>
          <w:rFonts w:ascii="Times New Roman" w:hAnsi="Times New Roman" w:eastAsia="Times New Roman" w:cs="Times New Roman"/>
          <w:b w:val="0"/>
          <w:sz w:val="28"/>
        </w:rPr>
        <w:t>“</w:t>
      </w:r>
      <w:r>
        <w:rPr>
          <w:rFonts w:ascii="Times New Roman" w:hAnsi="Times New Roman" w:eastAsia="仿宋" w:cs="Times New Roman"/>
          <w:b w:val="0"/>
          <w:sz w:val="28"/>
        </w:rPr>
        <w:t>持续整合</w:t>
      </w:r>
      <w:r>
        <w:rPr>
          <w:rFonts w:ascii="Times New Roman" w:hAnsi="Times New Roman" w:eastAsia="Times New Roman" w:cs="Times New Roman"/>
          <w:b w:val="0"/>
          <w:sz w:val="28"/>
        </w:rPr>
        <w:t>”</w:t>
      </w:r>
      <w:r>
        <w:rPr>
          <w:rFonts w:ascii="Times New Roman" w:hAnsi="Times New Roman" w:eastAsia="仿宋" w:cs="Times New Roman"/>
          <w:b w:val="0"/>
          <w:sz w:val="28"/>
        </w:rPr>
        <w:t>这一核心目标设计。</w:t>
      </w:r>
    </w:p>
    <w:p>
      <w:pPr>
        <w:spacing w:before="0" w:after="0" w:line="240" w:lineRule="auto" w:beforeLines="0" w:afterLines="0"/>
        <w:jc w:val="both"/>
        <w:ind w:firstLineChars="200"/>
      </w:pPr>
      <w:r>
        <w:rPr>
          <w:rFonts w:ascii="Times New Roman" w:hAnsi="Times New Roman" w:eastAsia="仿宋" w:cs="Times New Roman"/>
          <w:b w:val="0"/>
          <w:sz w:val="28"/>
        </w:rPr>
        <w:t>从本案可提炼三个可操作的方法论要点。其一，上市平台原主业与拟注入资产需有清晰的退出或嫁接方案，避免主营业务摇摆；公司通过更名与主业变更公告明确宣告环保业务退出与水电主业建立。其二，支付结构中股份与现金的比例需结合标的估值与上市平台股价弹性进行压力测试，确保控制权稳定与财务安全；混合支付在未改变实际控制人的前提下完成大额资产注入，揭示出合理的股本扩张节奏是持续整合的生命线。其三，持续整合应建立长期路线图，每一次注入都服务于平台最终战略定位，而非沦为单纯的报表重组；长洲水电少数股权的保留正是为后续资产装填预埋的接口。</w:t>
      </w:r>
    </w:p>
    <w:p>
      <w:pPr>
        <w:spacing w:before="0" w:after="0" w:line="240" w:lineRule="auto" w:beforeLines="0" w:afterLines="0"/>
        <w:jc w:val="both"/>
        <w:ind w:firstLineChars="200"/>
      </w:pPr>
      <w:r>
        <w:rPr>
          <w:rFonts w:ascii="Times New Roman" w:hAnsi="Times New Roman" w:eastAsia="仿宋" w:cs="Times New Roman"/>
          <w:b w:val="0"/>
          <w:sz w:val="28"/>
        </w:rPr>
        <w:t>从远达环保到电投水电的更名，不仅是证券简称变化，更是旧身份退出、新主业定位的正式宣示。在国家电投集团内，水电资产证券化进程由此迈出关键一步，但整合远未结束。未来能否将剩余水电资产乃至其他清洁能源资产有序注入，将决定电投水电是成为一个稳定的水电收息平台，还是一个综合性的清洁能源旗舰。无论走向何方，本案在支付结构、关联交易公允性防线以及分步整合节奏上的实践，都已成为同类交易可参照的方法论样本，其核心启示在于：通过严谨的结构设计，将</w:t>
      </w:r>
      <w:r>
        <w:rPr>
          <w:rFonts w:ascii="Times New Roman" w:hAnsi="Times New Roman" w:eastAsia="Times New Roman" w:cs="Times New Roman"/>
          <w:b w:val="0"/>
          <w:sz w:val="28"/>
        </w:rPr>
        <w:t>“</w:t>
      </w:r>
      <w:r>
        <w:rPr>
          <w:rFonts w:ascii="Times New Roman" w:hAnsi="Times New Roman" w:eastAsia="仿宋" w:cs="Times New Roman"/>
          <w:b w:val="0"/>
          <w:sz w:val="28"/>
        </w:rPr>
        <w:t>持续整合</w:t>
      </w:r>
      <w:r>
        <w:rPr>
          <w:rFonts w:ascii="Times New Roman" w:hAnsi="Times New Roman" w:eastAsia="Times New Roman" w:cs="Times New Roman"/>
          <w:b w:val="0"/>
          <w:sz w:val="28"/>
        </w:rPr>
        <w:t>”</w:t>
      </w:r>
      <w:r>
        <w:rPr>
          <w:rFonts w:ascii="Times New Roman" w:hAnsi="Times New Roman" w:eastAsia="仿宋" w:cs="Times New Roman"/>
          <w:b w:val="0"/>
          <w:sz w:val="28"/>
        </w:rPr>
        <w:t>从一个口号落地为一套可执行、可复用的交易框架。</w:t>
      </w:r>
    </w:p>
    <w:p>
      <w:pPr>
        <w:spacing w:before="0" w:after="0" w:line="240" w:lineRule="auto" w:beforeLines="0" w:afterLines="0"/>
        <w:jc w:val="both"/>
        <w:ind w:firstLineChars="200"/>
      </w:pPr>
      <w:r>
        <w:rPr>
          <w:rFonts w:ascii="Times New Roman" w:hAnsi="Times New Roman" w:eastAsia="仿宋" w:cs="Times New Roman"/>
          <w:b w:val="0"/>
          <w:sz w:val="28"/>
        </w:rPr>
        <w:t>回到本案，方法论意义在于将发行股份及支付现金、权益比例、交易节点等要素置于同一披露链条中核验。同类并购应首先确认信息披露是否支撑估值锚、条款安排与治理边界；其次把产业链位置、资源禀赋放回标的业务承接中判断；最后才评估收入、现金流等财务影响。对本例而言，交割承接与整合节奏能否匹配已披露安排是关键；对标的资产，控制权或接受机制是否在公开资料边界内可验证，则是持续判断的基础。</w:t>
      </w:r>
    </w:p>
    <w:p>
      <w:pPr>
        <w:spacing w:before="0" w:after="0" w:line="240" w:lineRule="auto" w:beforeLines="0" w:afterLines="0"/>
        <w:jc w:val="both"/>
        <w:ind w:firstLineChars="200"/>
      </w:pPr>
      <w:r>
        <w:rPr>
          <w:rFonts w:ascii="Times New Roman" w:hAnsi="Times New Roman" w:eastAsia="仿宋" w:cs="Times New Roman"/>
          <w:b w:val="0"/>
          <w:sz w:val="28"/>
        </w:rPr>
        <w:t>回到国家电投集团水电与国家电投集团内水电资，本案的方法论意义不在于把交易结果写成通用并购总结，而在于把现金支付；发行股份及支付现金、五凌电力100%股权（中国电力63%、湘投国际37%）；长洲水电64.93%股权（广西公司）；拟向不超过35名特定投资者发行股份募集配套资金；股票代码600292.SH、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国家电投集团水电而言，关键是交割承接和整合节奏能否与已披露安排匹配；对国家电投集团内水电资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