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上海福迅科技收购江阴江化微电子材料：控制权与治理安排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本案例涉及上海福迅科技有限公司（下称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上海福迅科技</w:t>
      </w:r>
      <w:r>
        <w:rPr>
          <w:rFonts w:ascii="Times New Roman" w:hAnsi="Times New Roman" w:eastAsia="Times New Roman" w:cs="Times New Roman"/>
          <w:b w:val="0"/>
          <w:sz w:val="28"/>
        </w:rPr>
        <w:t>”</w:t>
      </w:r>
      <w:r>
        <w:rPr>
          <w:rFonts w:ascii="Times New Roman" w:hAnsi="Times New Roman" w:eastAsia="仿宋" w:cs="Times New Roman"/>
          <w:b w:val="0"/>
          <w:sz w:val="28"/>
        </w:rPr>
        <w:t>）收购江阴江化微电子材料股份有限公司（下称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江阴江化微电子材料</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）的交易安排。交易前，本案例先从股权结构、控制权状态、业务状态和产业位置理解双方处境；交易的触发路径来自公告或监管披露《江阴江化微电子材料股份有限公司关于控股股东协议转让 ...》，目标线索为公开资料未单独披露；本次交易为协议转让控股权，受让方为上海福迅科技有限公司，受让后实际控制人变更为上海市国有资产监督管理委员会，受让方承诺60个月内不转让股份且未来36个月内不质押。。2026年1月19日，江阴江化微电子材料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江化微</w:t>
      </w:r>
      <w:r>
        <w:rPr>
          <w:rFonts w:ascii="Times New Roman" w:hAnsi="Times New Roman" w:eastAsia="Times New Roman" w:cs="Times New Roman"/>
          <w:b w:val="0"/>
          <w:sz w:val="28"/>
        </w:rPr>
        <w:t>”</w:t>
      </w:r>
      <w:r>
        <w:rPr>
          <w:rFonts w:ascii="Times New Roman" w:hAnsi="Times New Roman" w:eastAsia="仿宋" w:cs="Times New Roman"/>
          <w:b w:val="0"/>
          <w:sz w:val="28"/>
        </w:rPr>
        <w:t>，603078）公告控股股东淄博星恒途松控股有限公司（下称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淄博星恒途松</w:t>
      </w:r>
      <w:r>
        <w:rPr>
          <w:rFonts w:ascii="Times New Roman" w:hAnsi="Times New Roman" w:eastAsia="Times New Roman" w:cs="Times New Roman"/>
          <w:b w:val="0"/>
          <w:sz w:val="28"/>
        </w:rPr>
        <w:t>”</w:t>
      </w:r>
      <w:r>
        <w:rPr>
          <w:rFonts w:ascii="Times New Roman" w:hAnsi="Times New Roman" w:eastAsia="仿宋" w:cs="Times New Roman"/>
          <w:b w:val="0"/>
          <w:sz w:val="28"/>
        </w:rPr>
        <w:t>）与上海福迅科技有限公司（下称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上海福迅科技</w:t>
      </w:r>
      <w:r>
        <w:rPr>
          <w:rFonts w:ascii="Times New Roman" w:hAnsi="Times New Roman" w:eastAsia="Times New Roman" w:cs="Times New Roman"/>
          <w:b w:val="0"/>
          <w:sz w:val="28"/>
        </w:rPr>
        <w:t>”</w:t>
      </w:r>
      <w:r>
        <w:rPr>
          <w:rFonts w:ascii="Times New Roman" w:hAnsi="Times New Roman" w:eastAsia="仿宋" w:cs="Times New Roman"/>
          <w:b w:val="0"/>
          <w:sz w:val="28"/>
        </w:rPr>
        <w:t>）签署附条件生效的股份转让协议，转让92,382,329股（占总股本23.96%），每股20元，总价1,847,646,580元。交易完成后，控股股东变更为上海福迅科技，实际控制人由淄博市财政局变更为上海市国有资产监督管理委员会。江化微从名称判断属于电子材料行业，但公告未披露其具体业务、产能或财务数据；上海福迅科技的最终控制人为上海市国资委，其上层股东上海君华孚创电子材料产业发展私募投资基金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君华孚创基金</w:t>
      </w:r>
      <w:r>
        <w:rPr>
          <w:rFonts w:ascii="Times New Roman" w:hAnsi="Times New Roman" w:eastAsia="Times New Roman" w:cs="Times New Roman"/>
          <w:b w:val="0"/>
          <w:sz w:val="28"/>
        </w:rPr>
        <w:t>”</w:t>
      </w:r>
      <w:r>
        <w:rPr>
          <w:rFonts w:ascii="Times New Roman" w:hAnsi="Times New Roman" w:eastAsia="仿宋" w:cs="Times New Roman"/>
          <w:b w:val="0"/>
          <w:sz w:val="28"/>
        </w:rPr>
        <w:t>）亦出具了锁股承诺，除此之外，受让方自身及其收购意图均未进一步披露。在动机与财务信息近乎空白的情况下，这笔18.47亿元的交易何以成形并完成交割，答案全系于协议条款本身。本案的价值在于展示一套严密咬合的条款机制——30%保证金、70%交割后支付、60个月锁定期、36个月不质押承诺、过户当日董事会改选及重大资产处置限制——如何在信息真空地带，独立为控制权转让提供交割安全与治理稳定。</w:t>
      </w:r>
    </w:p>
    <w:p>
      <w:pPr>
        <w:spacing w:before="0" w:after="0" w:line="240" w:lineRule="auto" w:beforeLines="0" w:afterLines="0"/>
        <w:jc w:val="left"/>
        <w:ind w:firstLineChars="200"/>
      </w:pPr>
      <w:r>
        <w:rPr>
          <w:rFonts w:ascii="Times New Roman" w:hAnsi="Times New Roman" w:eastAsia="仿宋" w:cs="Times New Roman"/>
          <w:b/>
          <w:sz w:val="28"/>
        </w:rPr>
        <w:t>一、一份提示性公告勾勒的控制权变更全貌</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92,382,329股，20元/股，总价1,847,646,580元，占公司总股本23.96%，协议转让；时间线包括2026年1月19日：淄博星恒途松与上海福迅科技签署《关于江阴江化微电子材料股份有限公司附条件生效的股份转让协议》；协议签署后5个工作日内，受让方向共管账户支付30%的股份转让价款（554,293,974元）作为保证金；关键数字包括92,382,329股；20元/股；1,847,646,580元；23.96%。已抓取资料中的财务和经营线索为公开资料未披露目标公司具体财务经营数据；本次交易披露的对价及安排为：转让92,382,329股（占总股本23.96%），每股20元，总价1,847,646,580元；支付方式为协议转让，分30%和70%两期支付；另有重大资产处置限制（单项100万元以上或累计1,000万元以上需审批）。。收购方、买方和并购方的购买理由需要回到公开资料未单独披露；本次交易为协议转让控股权，受让方为上海福迅科技有限公司，受让后实际控制人变更为上海市国有资产监督管理委员会，受让方承诺60个月内不转让股份且未来36个月内不质押。；出售方、转让方或预受要约股东的接受安排依据为公开资料未单独披露；本次交易为控股股东淄博星恒途松通过协议转让方式出售92,382,329股（占23.96%），转让价格20元/股，总价1,847,646,580元，分30%和70%两期支付，并约定股份过户后完成董事会改选。。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依据江化微2026年1月19日发布的《关于控股股东协议转让公司股份暨控制权拟发生变更的提示性公告》（公告编号：2026-009），本次交易前，控股股东为淄博星恒途松，实际控制人为淄博市财政局。淄博星恒途松作为转让方，以协议转让方式将所持92,382,329股无限售流通股转让给上海福迅科技，转让价格20元/股，总价款1,847,646,580元。转让股份占公司总股本23.96%，交易完成后上海福迅科技成为控股股东，实际控制人变更为上海市国资委。公告明确，本次控股股东及实际控制人变更不触及要约收购。交易对价以本协议签署日前一交易日公司股份二级市场收盘价为基准，经协商确定，变更方式为协议转让，未涉及定向增发、表决权委托或一致行动安排，路径直接，控制权一次性转移。公开资料未披露淄博星恒途松的出售原因或上海福迅科技的收购战略，亦未提供江化微的经营与财务数据，这决定了本案的分析必须立足于已披露的条款体系，而非对背景的揣测。</w:t>
      </w:r>
    </w:p>
    <w:p>
      <w:pPr>
        <w:spacing w:before="0" w:after="0" w:line="240" w:lineRule="auto" w:beforeLines="0" w:afterLines="0"/>
        <w:jc w:val="left"/>
        <w:ind w:firstLineChars="200"/>
      </w:pPr>
      <w:r>
        <w:rPr>
          <w:rFonts w:ascii="Times New Roman" w:hAnsi="Times New Roman" w:eastAsia="仿宋" w:cs="Times New Roman"/>
          <w:b/>
          <w:sz w:val="28"/>
        </w:rPr>
        <w:t>二、对价锚定与分期支付：共管账户下的资金安全闭环</w:t>
      </w:r>
    </w:p>
    <w:p>
      <w:pPr>
        <w:spacing w:before="0" w:after="0" w:line="240" w:lineRule="auto" w:beforeLines="0" w:afterLines="0"/>
        <w:jc w:val="both"/>
        <w:ind w:firstLineChars="200"/>
      </w:pPr>
      <w:r>
        <w:rPr>
          <w:rFonts w:ascii="Times New Roman" w:hAnsi="Times New Roman" w:eastAsia="仿宋" w:cs="Times New Roman"/>
          <w:b w:val="0"/>
          <w:sz w:val="28"/>
        </w:rPr>
        <w:t>协议条款显示，对价以签署日前一交易日收盘价为基准，双方议定20元/股，这一方式将定价直接挂钩于公开市场价格，避免了脱离二级市场估值的随意性。支付安排采用典型的分步保障结构：受让方须于协议签署后5个工作日内向共管账户支付30%的转让价款，即554,293,974元，该笔款项作为保证金，协议生效后自动转为股份转让款；剩余70%的尾款1,293,352,606元须。</w:t>
      </w:r>
    </w:p>
    <w:p>
      <w:pPr>
        <w:spacing w:before="0" w:after="0" w:line="240" w:lineRule="auto" w:beforeLines="0" w:afterLines="0"/>
        <w:jc w:val="left"/>
        <w:ind w:firstLineChars="200"/>
      </w:pPr>
      <w:r>
        <w:rPr>
          <w:rFonts w:ascii="Times New Roman" w:hAnsi="Times New Roman" w:eastAsia="仿宋" w:cs="Times New Roman"/>
          <w:b/>
          <w:sz w:val="28"/>
        </w:rPr>
        <w:t>三、过户当日改选董事会：治理权移交不留空窗</w:t>
      </w:r>
    </w:p>
    <w:p>
      <w:pPr>
        <w:spacing w:before="0" w:after="0" w:line="240" w:lineRule="auto" w:beforeLines="0" w:afterLines="0"/>
        <w:jc w:val="both"/>
        <w:ind w:firstLineChars="200"/>
      </w:pPr>
      <w:r>
        <w:rPr>
          <w:rFonts w:ascii="Times New Roman" w:hAnsi="Times New Roman" w:eastAsia="仿宋" w:cs="Times New Roman"/>
          <w:b w:val="0"/>
          <w:sz w:val="28"/>
        </w:rPr>
        <w:t>标的股份完成过户登记后，原控股股东淄博星恒途松须在交割当日促使其提名的现有全部董事完成改选，这意味着董事会席位在过户当天即实现全面交接，不存在过渡期</w:t>
      </w:r>
      <w:r>
        <w:rPr>
          <w:rFonts w:ascii="Times New Roman" w:hAnsi="Times New Roman" w:eastAsia="Times New Roman" w:cs="Times New Roman"/>
          <w:b w:val="0"/>
          <w:sz w:val="28"/>
        </w:rPr>
        <w:t>“</w:t>
      </w:r>
      <w:r>
        <w:rPr>
          <w:rFonts w:ascii="Times New Roman" w:hAnsi="Times New Roman" w:eastAsia="仿宋" w:cs="Times New Roman"/>
          <w:b w:val="0"/>
          <w:sz w:val="28"/>
        </w:rPr>
        <w:t>双董事会</w:t>
      </w:r>
      <w:r>
        <w:rPr>
          <w:rFonts w:ascii="Times New Roman" w:hAnsi="Times New Roman" w:eastAsia="Times New Roman" w:cs="Times New Roman"/>
          <w:b w:val="0"/>
          <w:sz w:val="28"/>
        </w:rPr>
        <w:t>”</w:t>
      </w:r>
      <w:r>
        <w:rPr>
          <w:rFonts w:ascii="Times New Roman" w:hAnsi="Times New Roman" w:eastAsia="仿宋" w:cs="Times New Roman"/>
          <w:b w:val="0"/>
          <w:sz w:val="28"/>
        </w:rPr>
        <w:t>或多头管理的模糊状态。交割完成后5个工作日内，上市公司须召开董事会审议批准协议相关安排，进一步以公司治理程序固化交易成果。与此同时，协议嵌入了对重大资产处置的限制：在过渡期内，任何单项账面金额100万元以上或累计1,000万元以上的资产处置（包括出借、出售、设置抵押质押等，但正常经营的采购、销售、研发投入除外）须经新董事会批准。</w:t>
      </w:r>
    </w:p>
    <w:p>
      <w:pPr>
        <w:spacing w:before="0" w:after="0" w:line="240" w:lineRule="auto" w:beforeLines="0" w:afterLines="0"/>
        <w:jc w:val="left"/>
        <w:ind w:firstLineChars="200"/>
      </w:pPr>
      <w:r>
        <w:rPr>
          <w:rFonts w:ascii="Times New Roman" w:hAnsi="Times New Roman" w:eastAsia="仿宋" w:cs="Times New Roman"/>
          <w:b/>
          <w:sz w:val="28"/>
        </w:rPr>
        <w:t>四、60个月不转让与36个月不质押：双层锁定稳定控制权预期</w:t>
      </w:r>
    </w:p>
    <w:p>
      <w:pPr>
        <w:spacing w:before="0" w:after="0" w:line="240" w:lineRule="auto" w:beforeLines="0" w:afterLines="0"/>
        <w:jc w:val="both"/>
        <w:ind w:firstLineChars="200"/>
      </w:pPr>
      <w:r>
        <w:rPr>
          <w:rFonts w:ascii="Times New Roman" w:hAnsi="Times New Roman" w:eastAsia="仿宋" w:cs="Times New Roman"/>
          <w:b w:val="0"/>
          <w:sz w:val="28"/>
        </w:rPr>
        <w:t>上海福迅科技出具承诺函，其直接取得的上市公司股份自过户完成日起60个月内不转让（同一实际控制人控制下不同主体转让除外），且36个月内不进行股票质押。同时，其上层股东君华孚创基金承诺，持有上海福迅科技股权自上市公司股份过户完成日起36个月内不转让。这两层锁定从直接持股和间接持股层面切断了短期套现通道：60个月锁定期远超常见的12至36个月，表明受让方将长期持有控制权，而非财务性投资；不质押承诺则防止了变相出场或融资后控制权被动转移的风险。君华孚创基金的36个月锁股进一步稳定了受让方的股权结构，避免因上层股东变化导致实际控制人间接变更。此类锁定安排在缺乏产业协同信息披露的情况下，成为判断交易诚意与控制权稳定性的核心标尺。对于市场而言，这些承诺相当于将18.47亿元市值的股份置于长期的、主动放弃流动性的状态，直接降低了因控制权再次变更引发经营波动的概率。</w:t>
      </w:r>
    </w:p>
    <w:p>
      <w:pPr>
        <w:spacing w:before="0" w:after="0" w:line="240" w:lineRule="auto" w:beforeLines="0" w:afterLines="0"/>
        <w:jc w:val="left"/>
        <w:ind w:firstLineChars="200"/>
      </w:pPr>
      <w:r>
        <w:rPr>
          <w:rFonts w:ascii="Times New Roman" w:hAnsi="Times New Roman" w:eastAsia="仿宋" w:cs="Times New Roman"/>
          <w:b/>
          <w:sz w:val="28"/>
        </w:rPr>
        <w:t>五、产业判断与财务评估的缺失：本案例的认知边界</w:t>
      </w:r>
    </w:p>
    <w:p>
      <w:pPr>
        <w:spacing w:before="0" w:after="0" w:line="240" w:lineRule="auto" w:beforeLines="0" w:afterLines="0"/>
        <w:jc w:val="both"/>
        <w:ind w:firstLineChars="200"/>
      </w:pPr>
      <w:r>
        <w:rPr>
          <w:rFonts w:ascii="Times New Roman" w:hAnsi="Times New Roman" w:eastAsia="仿宋" w:cs="Times New Roman"/>
          <w:b w:val="0"/>
          <w:sz w:val="28"/>
        </w:rPr>
        <w:t>公开资料仅披露江化微属于电子材料行业，但没有提供任何有关其产能、技术、客户、收入或利润的财务数据，也未说明上海福迅科技或上海国资委的产业整合意图。因此，本案例无法进行产业协同判断，无法计算估值倍数，也无从评估18.47亿元对价相对于公司基本面是否合理。同样，淄博星恒途松为何退出、上海国资委为何入主，均属未披露范畴。协议生效的完整条件也未详细列出，公告仅提示</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上海福迅科技以18.47亿元现金受让江化微23.96%股份，在双方动机、目标公司财务一概未披露的情况下，交易的安全与秩序完全由《附条件生效的股份转让协议》内置的机制生成：30%保证金锁定启动，70%尾款绑定解押与合规确认，过户当日董事会全面改选，重大资产处置受新董事会约束，受让方及上层基金出具60个月、36个月多层锁定且承诺不质押。这些安排环环相扣，将控制权转让的资金交付、权利清洁、治理交接和稳定预期压缩在一套无间断的程序之中。对于任何拟通过协议受让取得A股上市公司控制权的买方而言，江化微案提供了可直接移植的条款骨架：以公开市场价格为定价之锚，以共管账户和分期有条件支付切割风险，以交割当日改选和资产处置限制确保治理即时到位，以超长锁定与不质押承诺阻断套现。当产业叙事缺席时，研究者更应退回协议文本，发现控制权交易的安全感并非来自主观意图，而是来自条款之间的咬合与制衡——这正是本案例最核心的方法论启示。</w:t>
      </w:r>
    </w:p>
    <w:p>
      <w:pPr>
        <w:spacing w:before="0" w:after="0" w:line="240" w:lineRule="auto" w:beforeLines="0" w:afterLines="0"/>
        <w:jc w:val="both"/>
        <w:ind w:firstLineChars="200"/>
      </w:pPr>
      <w:r>
        <w:rPr>
          <w:rFonts w:ascii="Times New Roman" w:hAnsi="Times New Roman" w:eastAsia="仿宋" w:cs="Times New Roman"/>
          <w:b w:val="0"/>
          <w:sz w:val="28"/>
        </w:rPr>
        <w:t>回到上海福迅科技与江阴江化微电子材料，本案的方法论意义不在于把交易结果写成通用并购总结，而在于把92,382,329股，20元/股，总价1,847,646,580元，占公司总股本23.96%，协议转让、92,382,329股；20元/股；1,847,646,580元；23.96%、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福迅科技而言，关键是交割承接和整合节奏能否与已披露安排匹配；对江阴江化微电子材料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