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中交设计咨询集团股份收购中交公路规划设计院有：股权比例与治理安排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本案例涉及中交设计咨询集团股份有限公司（原祁连山）（下称</w:t>
      </w:r>
      <w:r>
        <w:rPr>
          <w:rFonts w:ascii="Times New Roman" w:hAnsi="Times New Roman" w:eastAsia="Times New Roman" w:cs="Times New Roman"/>
          <w:b w:val="0"/>
          <w:sz w:val="28"/>
        </w:rPr>
        <w:t>“</w:t>
      </w:r>
      <w:r>
        <w:rPr>
          <w:rFonts w:ascii="Times New Roman" w:hAnsi="Times New Roman" w:eastAsia="仿宋" w:cs="Times New Roman"/>
          <w:b w:val="0"/>
          <w:sz w:val="28"/>
        </w:rPr>
        <w:t>中交设计咨询</w:t>
      </w:r>
      <w:r>
        <w:rPr>
          <w:rFonts w:ascii="Times New Roman" w:hAnsi="Times New Roman" w:eastAsia="Times New Roman" w:cs="Times New Roman"/>
          <w:b w:val="0"/>
          <w:sz w:val="28"/>
        </w:rPr>
        <w:t>”</w:t>
      </w:r>
      <w:r>
        <w:rPr>
          <w:rFonts w:ascii="Times New Roman" w:hAnsi="Times New Roman" w:eastAsia="仿宋" w:cs="Times New Roman"/>
          <w:b w:val="0"/>
          <w:sz w:val="28"/>
        </w:rPr>
        <w:t>）收购中交公路规划设计院有限公司等六家设计院（下称</w:t>
      </w:r>
      <w:r>
        <w:rPr>
          <w:rFonts w:ascii="Times New Roman" w:hAnsi="Times New Roman" w:eastAsia="Times New Roman" w:cs="Times New Roman"/>
          <w:b w:val="0"/>
          <w:sz w:val="28"/>
        </w:rPr>
        <w:t>“</w:t>
      </w:r>
      <w:r>
        <w:rPr>
          <w:rFonts w:ascii="Times New Roman" w:hAnsi="Times New Roman" w:eastAsia="仿宋" w:cs="Times New Roman"/>
          <w:b w:val="0"/>
          <w:sz w:val="28"/>
        </w:rPr>
        <w:t>中交公路规划设计院等六家设计院</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中信证券股份有限公司关于中交设计咨询集团股份有限公司重大资产置换及发行股份购买资产并募集配套资金暨关联交易之2025年度持续督导意见》，目标线索为将中交集团设计资产注入上市平台，提升资产证券化率。当中国建材集团面临水泥业务同业竞争与行业增长放缓、中国交通建设集团亟需将旗下设计资产证券化时，甘肃祁连山水泥集团股份有限公司（后更名为中交设计咨询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祁连山股份</w:t>
      </w:r>
      <w:r>
        <w:rPr>
          <w:rFonts w:ascii="Times New Roman" w:hAnsi="Times New Roman" w:eastAsia="Times New Roman" w:cs="Times New Roman"/>
          <w:b w:val="0"/>
          <w:sz w:val="28"/>
        </w:rPr>
        <w:t>”</w:t>
      </w:r>
      <w:r>
        <w:rPr>
          <w:rFonts w:ascii="Times New Roman" w:hAnsi="Times New Roman" w:eastAsia="仿宋" w:cs="Times New Roman"/>
          <w:b w:val="0"/>
          <w:sz w:val="28"/>
        </w:rPr>
        <w:t>）成为两家央企战略调整的交汇点。2023年，祁连山股份推出重组方案，拟以全部水泥资产置出，同时置入中交集团持有的中交公路规划设计院有限公司、中交第一公路勘察设计研究院有限公司、中交第二公路勘察设计研究院有限公司、中国市政工程西南设计研究总院有限公司、中国市政工程东北设计研究总院有限公司、中交城市能源研究设计院有限公司（合称</w:t>
      </w:r>
      <w:r>
        <w:rPr>
          <w:rFonts w:ascii="Times New Roman" w:hAnsi="Times New Roman" w:eastAsia="Times New Roman" w:cs="Times New Roman"/>
          <w:b w:val="0"/>
          <w:sz w:val="28"/>
        </w:rPr>
        <w:t>“</w:t>
      </w:r>
      <w:r>
        <w:rPr>
          <w:rFonts w:ascii="Times New Roman" w:hAnsi="Times New Roman" w:eastAsia="仿宋" w:cs="Times New Roman"/>
          <w:b w:val="0"/>
          <w:sz w:val="28"/>
        </w:rPr>
        <w:t>六家设计院</w:t>
      </w:r>
      <w:r>
        <w:rPr>
          <w:rFonts w:ascii="Times New Roman" w:hAnsi="Times New Roman" w:eastAsia="Times New Roman" w:cs="Times New Roman"/>
          <w:b w:val="0"/>
          <w:sz w:val="28"/>
        </w:rPr>
        <w:t>”</w:t>
      </w:r>
      <w:r>
        <w:rPr>
          <w:rFonts w:ascii="Times New Roman" w:hAnsi="Times New Roman" w:eastAsia="仿宋" w:cs="Times New Roman"/>
          <w:b w:val="0"/>
          <w:sz w:val="28"/>
        </w:rPr>
        <w:t>）100%股权，差额部分由上市公司向中国交通建设股份有限公司（下称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中国交建</w:t>
      </w:r>
      <w:r>
        <w:rPr>
          <w:rFonts w:ascii="Times New Roman" w:hAnsi="Times New Roman" w:eastAsia="Times New Roman" w:cs="Times New Roman"/>
          <w:b w:val="0"/>
          <w:sz w:val="28"/>
        </w:rPr>
        <w:t>”</w:t>
      </w:r>
      <w:r>
        <w:rPr>
          <w:rFonts w:ascii="Times New Roman" w:hAnsi="Times New Roman" w:eastAsia="仿宋" w:cs="Times New Roman"/>
          <w:b w:val="0"/>
          <w:sz w:val="28"/>
        </w:rPr>
        <w:t>）及中国城乡控股集团有限公司（下称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中国城乡</w:t>
      </w:r>
      <w:r>
        <w:rPr>
          <w:rFonts w:ascii="Times New Roman" w:hAnsi="Times New Roman" w:eastAsia="Times New Roman" w:cs="Times New Roman"/>
          <w:b w:val="0"/>
          <w:sz w:val="28"/>
        </w:rPr>
        <w:t>”</w:t>
      </w:r>
      <w:r>
        <w:rPr>
          <w:rFonts w:ascii="Times New Roman" w:hAnsi="Times New Roman" w:eastAsia="仿宋" w:cs="Times New Roman"/>
          <w:b w:val="0"/>
          <w:sz w:val="28"/>
        </w:rPr>
        <w:t>）发行股份支付，并同步募集配套资金不超过16.33亿元。拟置入资产作价合计约235.03亿元，交易于2025年完成交割，上市公司主营业务由水泥生产变更为工程设计咨询，实际控制人由中国建材集团变更为中交集团。本次交易并非简单的借壳，而是在两家央企集团之间以资产置换为核心的一次产业资产交换，其结构设计为同类重组提供了关键参照。</w:t>
      </w:r>
    </w:p>
    <w:p>
      <w:pPr>
        <w:spacing w:before="0" w:after="0" w:line="240" w:lineRule="auto" w:beforeLines="0" w:afterLines="0"/>
        <w:jc w:val="left"/>
        <w:ind w:firstLineChars="200"/>
      </w:pPr>
      <w:r>
        <w:rPr>
          <w:rFonts w:ascii="Times New Roman" w:hAnsi="Times New Roman" w:eastAsia="仿宋" w:cs="Times New Roman"/>
          <w:b/>
          <w:sz w:val="28"/>
        </w:rPr>
        <w:t>一、重组前夜：水泥平台的产业压力与中交设计资产的上市缺口</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完整披露；拟置入资产作价合计为2,350,313.61万元（约235.03亿元），同时置出祁连山有限100%股权，并募集配套资金不超过1,632,538,458元（约16.33亿元）；时间线包括2023年：取得中国证监会注册批复（证监许可〔2023〕2407号）；2024年9月27日：募集配套资金认购资金到位，收到9户特定投资者认购资金合计1,632,538,458元。</w:t>
      </w:r>
    </w:p>
    <w:p>
      <w:pPr>
        <w:spacing w:before="0" w:after="0" w:line="240" w:lineRule="auto" w:beforeLines="0" w:afterLines="0"/>
        <w:jc w:val="both"/>
        <w:ind w:firstLineChars="200"/>
      </w:pPr>
      <w:r>
        <w:rPr>
          <w:rFonts w:ascii="Times New Roman" w:hAnsi="Times New Roman" w:eastAsia="仿宋" w:cs="Times New Roman"/>
          <w:b w:val="0"/>
          <w:sz w:val="28"/>
        </w:rPr>
        <w:t>交易前，祁连山股份是一家主营水泥生产与销售的A股上市公司，控股股东为甘肃祁连山建材控股有限公司，实际控制人为中国建材集团有限公司旗下的中国建材股份有限公司（下称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中国建材集团</w:t>
      </w:r>
      <w:r>
        <w:rPr>
          <w:rFonts w:ascii="Times New Roman" w:hAnsi="Times New Roman" w:eastAsia="Times New Roman" w:cs="Times New Roman"/>
          <w:b w:val="0"/>
          <w:sz w:val="28"/>
        </w:rPr>
        <w:t>”</w:t>
      </w:r>
      <w:r>
        <w:rPr>
          <w:rFonts w:ascii="Times New Roman" w:hAnsi="Times New Roman" w:eastAsia="仿宋" w:cs="Times New Roman"/>
          <w:b w:val="0"/>
          <w:sz w:val="28"/>
        </w:rPr>
        <w:t>）。中国建材集团通过多平台整合水泥业务，祁连山股份与新疆天山水泥股份有限公司等兄弟公司存在显著的同业竞争，且水泥行业整体面临需求增速趋缓、产能过剩压力，上市公司自身增长空间受限，急需彻底转型。</w:t>
      </w:r>
    </w:p>
    <w:p>
      <w:pPr>
        <w:spacing w:before="0" w:after="0" w:line="240" w:lineRule="auto" w:beforeLines="0" w:afterLines="0"/>
        <w:jc w:val="both"/>
        <w:ind w:firstLineChars="200"/>
      </w:pPr>
      <w:r>
        <w:rPr>
          <w:rFonts w:ascii="Times New Roman" w:hAnsi="Times New Roman" w:eastAsia="仿宋" w:cs="Times New Roman"/>
          <w:b w:val="0"/>
          <w:sz w:val="28"/>
        </w:rPr>
        <w:t>另一方，中交集团通过中国交建及中国城乡持有大量优质设计咨询资产。六家设计院覆盖公路、市政、能源等领域的工程勘察、设计、咨询业务，属于轻资产、高毛利、知识密集型领域，其盈利周期与水泥产业形成互补。但由于缺少独立上市平台，资产证券化率低，难以借助资本市场快速壮大。2023年，祁连山股份公告重大资产重组预案，拟以资产置换方式将自身水泥业务整体置出，置入六家设计院股权，交易对方为中国交建及中国城乡。公开资料未披露双方谈判的主观动机细节，但从方案条款可推断：中国建材集团需要剥离非核心水泥资产以聚焦主业，中交集团则需要将设计业务装入上市平台，双方通过资产对等交换实现各自战略目标。通过将设计资产独立上市而非留在集团内部，中交集团可优化资本布局，设计业务也能获得独立的融资渠道与市场估值，这种产业逻辑是推动交易发生的深层动力。</w:t>
      </w:r>
    </w:p>
    <w:p>
      <w:pPr>
        <w:spacing w:before="0" w:after="0" w:line="240" w:lineRule="auto" w:beforeLines="0" w:afterLines="0"/>
        <w:jc w:val="left"/>
        <w:ind w:firstLineChars="200"/>
      </w:pPr>
      <w:r>
        <w:rPr>
          <w:rFonts w:ascii="Times New Roman" w:hAnsi="Times New Roman" w:eastAsia="仿宋" w:cs="Times New Roman"/>
          <w:b/>
          <w:sz w:val="28"/>
        </w:rPr>
        <w:t>二、三重结构协同：资产置换、差额股份支付与配套融资如何一次性完成换壳</w:t>
      </w:r>
    </w:p>
    <w:p>
      <w:pPr>
        <w:spacing w:before="0" w:after="0" w:line="240" w:lineRule="auto" w:beforeLines="0" w:afterLines="0"/>
        <w:jc w:val="both"/>
        <w:ind w:firstLineChars="200"/>
      </w:pPr>
      <w:r>
        <w:rPr>
          <w:rFonts w:ascii="Times New Roman" w:hAnsi="Times New Roman" w:eastAsia="仿宋" w:cs="Times New Roman"/>
          <w:b w:val="0"/>
          <w:sz w:val="28"/>
        </w:rPr>
        <w:t>本次重组方案由重大资产置换、发行股份购买资产及募集配套资金三个互为条件的部分组成，设计精巧。在资产置换环节，上市公司以祁连山有限（水泥资产归集主体）100%股权作为置出资产，与中国交建及中国城乡持有的六家设计院100%股权进行等价置换。经协商，拟置入资产作价2,350,313.61万元（约235.03亿元），置出资产评估值未在持续督导文件中单独披露，但其与置入作价之间的差额通过向交易对方定向发行股份支付。</w:t>
      </w:r>
    </w:p>
    <w:p>
      <w:pPr>
        <w:spacing w:before="0" w:after="0" w:line="240" w:lineRule="auto" w:beforeLines="0" w:afterLines="0"/>
        <w:jc w:val="both"/>
        <w:ind w:firstLineChars="200"/>
      </w:pPr>
      <w:r>
        <w:rPr>
          <w:rFonts w:ascii="Times New Roman" w:hAnsi="Times New Roman" w:eastAsia="仿宋" w:cs="Times New Roman"/>
          <w:b w:val="0"/>
          <w:sz w:val="28"/>
        </w:rPr>
        <w:t>发行股份购买资产部分，差额支付机制成为控制权转移的关键。上市公司向中国交建及中国城乡发行股份，数量不超过232,887,084股，不超过交易前总股本的30%，定价符合市场参考价与监管要求。通过这种安排，置入资产与置出资产之间的差额以新增股权抵补，中交系自然获得上市公司控制权，避免了高额现金支付的现实困难。与此同时，原控股股东中国建材集团因水泥资产置出而退出，原股东股权被摊薄但获得业务切割的确定性和配套基金的部分估值支撑。</w:t>
      </w:r>
    </w:p>
    <w:p>
      <w:pPr>
        <w:spacing w:before="0" w:after="0" w:line="240" w:lineRule="auto" w:beforeLines="0" w:afterLines="0"/>
        <w:jc w:val="both"/>
        <w:ind w:firstLineChars="200"/>
      </w:pPr>
      <w:r>
        <w:rPr>
          <w:rFonts w:ascii="Times New Roman" w:hAnsi="Times New Roman" w:eastAsia="仿宋" w:cs="Times New Roman"/>
          <w:b w:val="0"/>
          <w:sz w:val="28"/>
        </w:rPr>
        <w:t>募集配套资金环节进一步强化了重组后平台的资本实力。上市公司向不超过35名特定投资者非公开发行股份，最终实际收到9户认购资金合计1,632,538,458元（约16.33亿元），于2024年9月27日到账。募集资金用于补充流动资金等用途，为设计业务注入急需的资本，同时也反映出市场化机构对重组后公司价值的初步认可。整套方案通过</w:t>
      </w:r>
      <w:r>
        <w:rPr>
          <w:rFonts w:ascii="Times New Roman" w:hAnsi="Times New Roman" w:eastAsia="Times New Roman" w:cs="Times New Roman"/>
          <w:b w:val="0"/>
          <w:sz w:val="28"/>
        </w:rPr>
        <w:t>“</w:t>
      </w:r>
      <w:r>
        <w:rPr>
          <w:rFonts w:ascii="Times New Roman" w:hAnsi="Times New Roman" w:eastAsia="仿宋" w:cs="Times New Roman"/>
          <w:b w:val="0"/>
          <w:sz w:val="28"/>
        </w:rPr>
        <w:t>置换+发股+募资</w:t>
      </w:r>
      <w:r>
        <w:rPr>
          <w:rFonts w:ascii="Times New Roman" w:hAnsi="Times New Roman" w:eastAsia="Times New Roman" w:cs="Times New Roman"/>
          <w:b w:val="0"/>
          <w:sz w:val="28"/>
        </w:rPr>
        <w:t>”</w:t>
      </w:r>
      <w:r>
        <w:rPr>
          <w:rFonts w:ascii="Times New Roman" w:hAnsi="Times New Roman" w:eastAsia="仿宋" w:cs="Times New Roman"/>
          <w:b w:val="0"/>
          <w:sz w:val="28"/>
        </w:rPr>
        <w:t>的三重组合，在同。</w:t>
      </w:r>
    </w:p>
    <w:p>
      <w:pPr>
        <w:spacing w:before="0" w:after="0" w:line="240" w:lineRule="auto" w:beforeLines="0" w:afterLines="0"/>
        <w:jc w:val="left"/>
        <w:ind w:firstLineChars="200"/>
      </w:pPr>
      <w:r>
        <w:rPr>
          <w:rFonts w:ascii="Times New Roman" w:hAnsi="Times New Roman" w:eastAsia="仿宋" w:cs="Times New Roman"/>
          <w:b/>
          <w:sz w:val="28"/>
        </w:rPr>
        <w:t>三、托管与承诺：控制权转移后的同业竞争切割与盈利保障机制</w:t>
      </w:r>
    </w:p>
    <w:p>
      <w:pPr>
        <w:spacing w:before="0" w:after="0" w:line="240" w:lineRule="auto" w:beforeLines="0" w:afterLines="0"/>
        <w:jc w:val="both"/>
        <w:ind w:firstLineChars="200"/>
      </w:pPr>
      <w:r>
        <w:rPr>
          <w:rFonts w:ascii="Times New Roman" w:hAnsi="Times New Roman" w:eastAsia="仿宋" w:cs="Times New Roman"/>
          <w:b w:val="0"/>
          <w:sz w:val="28"/>
        </w:rPr>
        <w:t>交易完成后，中国交建及中国城乡成为上市公司控股股东，实际控制人变更为中交集团，上市公司更名为中交设计咨询集团股份有限公司。为实现水泥业务的彻底剥离和解决同业竞争，交易各方签署了《托管协议》。根据该协议，中国交建、中国城乡、祁连山有限与新疆天山水泥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天山股份</w:t>
      </w:r>
      <w:r>
        <w:rPr>
          <w:rFonts w:ascii="Times New Roman" w:hAnsi="Times New Roman" w:eastAsia="Times New Roman" w:cs="Times New Roman"/>
          <w:b w:val="0"/>
          <w:sz w:val="28"/>
        </w:rPr>
        <w:t>”</w:t>
      </w:r>
      <w:r>
        <w:rPr>
          <w:rFonts w:ascii="Times New Roman" w:hAnsi="Times New Roman" w:eastAsia="仿宋" w:cs="Times New Roman"/>
          <w:b w:val="0"/>
          <w:sz w:val="28"/>
        </w:rPr>
        <w:t>）约定，将祁连山有限100%股权委托给天山股份管理，托管期间由天山股份负责祁连山有限。</w:t>
      </w:r>
    </w:p>
    <w:p>
      <w:pPr>
        <w:spacing w:before="0" w:after="0" w:line="240" w:lineRule="auto" w:beforeLines="0" w:afterLines="0"/>
        <w:jc w:val="both"/>
        <w:ind w:firstLineChars="200"/>
      </w:pPr>
      <w:r>
        <w:rPr>
          <w:rFonts w:ascii="Times New Roman" w:hAnsi="Times New Roman" w:eastAsia="仿宋" w:cs="Times New Roman"/>
          <w:b w:val="0"/>
          <w:sz w:val="28"/>
        </w:rPr>
        <w:t>另一层保障来自业绩承诺。中国交建、中国城乡与上市公司签署了《业绩承诺补偿协议》，就六家设计院未来一定年度的盈利进行承诺，公开资料显示未达标则通过股份或现金方式补偿。虽然持续督导意见未披露具体承诺金额，但协议的存在为注入资产的估值提供了约束：交易对方以自身利益绑定标的业绩，降低了中小股东可能面临的资产虚高风险。在上市公司董事会和治理安排由中交集团主导的背景下。</w:t>
      </w:r>
    </w:p>
    <w:p>
      <w:pPr>
        <w:spacing w:before="0" w:after="0" w:line="240" w:lineRule="auto" w:beforeLines="0" w:afterLines="0"/>
        <w:jc w:val="left"/>
        <w:ind w:firstLineChars="200"/>
      </w:pPr>
      <w:r>
        <w:rPr>
          <w:rFonts w:ascii="Times New Roman" w:hAnsi="Times New Roman" w:eastAsia="仿宋" w:cs="Times New Roman"/>
          <w:b/>
          <w:sz w:val="28"/>
        </w:rPr>
        <w:t>四、交割与整合：六院并表的产业质地改变与持续督导观察</w:t>
      </w:r>
    </w:p>
    <w:p>
      <w:pPr>
        <w:spacing w:before="0" w:after="0" w:line="240" w:lineRule="auto" w:beforeLines="0" w:afterLines="0"/>
        <w:jc w:val="both"/>
        <w:ind w:firstLineChars="200"/>
      </w:pPr>
      <w:r>
        <w:rPr>
          <w:rFonts w:ascii="Times New Roman" w:hAnsi="Times New Roman" w:eastAsia="仿宋" w:cs="Times New Roman"/>
          <w:b w:val="0"/>
          <w:sz w:val="28"/>
        </w:rPr>
        <w:t>本次重组于2023年取得中国证监会注册批复（证监许可〔2023〕2407号）后进入实施。截至2025年度持续督导期末，六家设计院100%股权已全部过户至上市公司名下，祁连山有限100%股权亦完成权属转移，募集配套资金已按计划到位并使用。根据中信证券出具的持续督导意见，报告期内未发现上市公司存在违规情形，交易各方均遵守重组协议和承诺。</w:t>
      </w:r>
    </w:p>
    <w:p>
      <w:pPr>
        <w:spacing w:before="0" w:after="0" w:line="240" w:lineRule="auto" w:beforeLines="0" w:afterLines="0"/>
        <w:jc w:val="both"/>
        <w:ind w:firstLineChars="200"/>
      </w:pPr>
      <w:r>
        <w:rPr>
          <w:rFonts w:ascii="Times New Roman" w:hAnsi="Times New Roman" w:eastAsia="仿宋" w:cs="Times New Roman"/>
          <w:b w:val="0"/>
          <w:sz w:val="28"/>
        </w:rPr>
        <w:t>从产业角度看，六家设计院的并表使上市公司从重资产、强周期的水泥行业切换至轻资产、高毛利的工程设计咨询领域，其业务稳定性与成长性均发生根本改变。设计咨询业更依赖专业技术团队和项目积累，受宏观经济波动影响相对较小，与基建投资、城镇化进程强相关。尽管持续督导意见未披露详细财务数据，但重组后上市公司的业务结构已转向高附加值服务，原有水泥业务的拖累被完全斩断。这一转型。</w:t>
      </w:r>
    </w:p>
    <w:p>
      <w:pPr>
        <w:spacing w:before="0" w:after="0" w:line="240" w:lineRule="auto" w:beforeLines="0" w:afterLines="0"/>
        <w:jc w:val="left"/>
        <w:ind w:firstLineChars="200"/>
      </w:pPr>
      <w:r>
        <w:rPr>
          <w:rFonts w:ascii="Times New Roman" w:hAnsi="Times New Roman" w:eastAsia="仿宋" w:cs="Times New Roman"/>
          <w:b/>
          <w:sz w:val="28"/>
        </w:rPr>
        <w:t>五、结语：股权比例与治理安排的核验方法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中交设计重组上市，实质是祁连山股份与中国交建、中国城乡之间完成的一次大型央企资产置换，交易以235.03亿元设计资产为对价，通过差额股份支付实现控制权转移，以托管协议完成水泥业务切割，并以业绩承诺锁定注入资产盈利风险。这种结构表明，当涉及控制权变更与产业转型时，资产置换比现金收购更能高效解决多方利益平衡：中国建材集团剥离了非核心水泥资产，中交集团获得了设计业务上市平台，上市公司完成产业升级，所有目标在一次重组中同步达成。</w:t>
      </w:r>
    </w:p>
    <w:p>
      <w:pPr>
        <w:spacing w:before="0" w:after="0" w:line="240" w:lineRule="auto" w:beforeLines="0" w:afterLines="0"/>
        <w:jc w:val="both"/>
        <w:ind w:firstLineChars="200"/>
      </w:pPr>
      <w:r>
        <w:rPr>
          <w:rFonts w:ascii="Times New Roman" w:hAnsi="Times New Roman" w:eastAsia="仿宋" w:cs="Times New Roman"/>
          <w:b w:val="0"/>
          <w:sz w:val="28"/>
        </w:rPr>
        <w:t>对于同类大型国企重组，本案提供了可复用的核心方法：不必先买壳再注入，而是让资产本身成为对价，以</w:t>
      </w:r>
      <w:r>
        <w:rPr>
          <w:rFonts w:ascii="Times New Roman" w:hAnsi="Times New Roman" w:eastAsia="Times New Roman" w:cs="Times New Roman"/>
          <w:b w:val="0"/>
          <w:sz w:val="28"/>
        </w:rPr>
        <w:t>“</w:t>
      </w:r>
      <w:r>
        <w:rPr>
          <w:rFonts w:ascii="Times New Roman" w:hAnsi="Times New Roman" w:eastAsia="仿宋" w:cs="Times New Roman"/>
          <w:b w:val="0"/>
          <w:sz w:val="28"/>
        </w:rPr>
        <w:t>资产置换+差额股份支付+托管+业绩承诺</w:t>
      </w:r>
      <w:r>
        <w:rPr>
          <w:rFonts w:ascii="Times New Roman" w:hAnsi="Times New Roman" w:eastAsia="Times New Roman" w:cs="Times New Roman"/>
          <w:b w:val="0"/>
          <w:sz w:val="28"/>
        </w:rPr>
        <w:t>”</w:t>
      </w:r>
      <w:r>
        <w:rPr>
          <w:rFonts w:ascii="Times New Roman" w:hAnsi="Times New Roman" w:eastAsia="仿宋" w:cs="Times New Roman"/>
          <w:b w:val="0"/>
          <w:sz w:val="28"/>
        </w:rPr>
        <w:t>构成的组合，在合规框架下一次性完成资产进出、控制权转移与融资。其成败关键在于差额定价的公允性、托管过渡的有效性以及承诺机制的刚性约束，这三者共同构成了资产置换式重组的实战框架。本案为国企产业整合与资产证券化提供了一条可循的路径，彰显了结构设计在大型交易中的枢纽作用。</w:t>
      </w:r>
    </w:p>
    <w:p>
      <w:pPr>
        <w:spacing w:before="0" w:after="0" w:line="240" w:lineRule="auto" w:beforeLines="0" w:afterLines="0"/>
        <w:jc w:val="both"/>
        <w:ind w:firstLineChars="200"/>
      </w:pPr>
      <w:r>
        <w:rPr>
          <w:rFonts w:ascii="Times New Roman" w:hAnsi="Times New Roman" w:eastAsia="仿宋" w:cs="Times New Roman"/>
          <w:b w:val="0"/>
          <w:sz w:val="28"/>
        </w:rPr>
        <w:t>回到中交设计咨询集团股份与中交公路规划设计院有，本案的方法论意义不在于把交易结果写成通用并购总结，而在于把公开资料未完整披露；拟置入资产作价合计为2,350,313.61万元（约235.03亿元），同时置出祁连山有限100%股权，并募集配套资金不超过1,632,538,458元（约16.33亿元）、拟置入资产作价合计：2,350,313.61万元；募集配套资金：1,632,538,458元；发行股份数量不超过：232,887,084股；拟置出资产：祁连山有限100%股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中交设计咨询集团股份而言，关键是交割承接和整合节奏能否与已披露安排匹配；对中交公路规划设计院有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