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东睦新材料集团收购上海富驰高科技股份有：现金支付与业务承接</w:t>
      </w:r>
    </w:p>
    <w:p>
      <w:pPr>
        <w:spacing w:before="0" w:after="0" w:line="240" w:lineRule="auto" w:beforeLines="0" w:afterLines="0"/>
        <w:jc w:val="both"/>
        <w:ind w:firstLineChars="200"/>
      </w:pPr>
      <w:r>
        <w:rPr>
          <w:rFonts w:ascii="Times New Roman" w:hAnsi="Times New Roman" w:eastAsia="仿宋" w:cs="Times New Roman"/>
          <w:b w:val="0"/>
          <w:sz w:val="28"/>
        </w:rPr>
        <w:t>本案例涉及东睦新材料集团股份有限公司（下称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东睦新材料</w:t>
      </w:r>
      <w:r>
        <w:rPr>
          <w:rFonts w:ascii="Times New Roman" w:hAnsi="Times New Roman" w:eastAsia="Times New Roman" w:cs="Times New Roman"/>
          <w:b w:val="0"/>
          <w:sz w:val="28"/>
        </w:rPr>
        <w:t>”</w:t>
      </w:r>
      <w:r>
        <w:rPr>
          <w:rFonts w:ascii="Times New Roman" w:hAnsi="Times New Roman" w:eastAsia="仿宋" w:cs="Times New Roman"/>
          <w:b w:val="0"/>
          <w:sz w:val="28"/>
        </w:rPr>
        <w:t>）收购上海富驰高科技股份有限公司34.75%股权（下称</w:t>
      </w:r>
      <w:r>
        <w:rPr>
          <w:rFonts w:ascii="Times New Roman" w:hAnsi="Times New Roman" w:eastAsia="Times New Roman" w:cs="Times New Roman"/>
          <w:b w:val="0"/>
          <w:sz w:val="28"/>
        </w:rPr>
        <w:t>“</w:t>
      </w:r>
      <w:r>
        <w:rPr>
          <w:rFonts w:ascii="Times New Roman" w:hAnsi="Times New Roman" w:eastAsia="仿宋" w:cs="Times New Roman"/>
          <w:b w:val="0"/>
          <w:sz w:val="28"/>
        </w:rPr>
        <w:t>上海富驰高科技34.75%股权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东睦股份关于公司发行股份及支付现金购买资产并募集配套资金暨关联交易之标的资产过户完成的公告》，目标线索为公开资料未单独披露买方收购动机。</w:t>
      </w:r>
    </w:p>
    <w:p>
      <w:pPr>
        <w:spacing w:before="0" w:after="0" w:line="240" w:lineRule="auto" w:beforeLines="0" w:afterLines="0"/>
        <w:jc w:val="left"/>
        <w:ind w:firstLineChars="200"/>
      </w:pPr>
      <w:r>
        <w:rPr>
          <w:rFonts w:ascii="Times New Roman" w:hAnsi="Times New Roman" w:eastAsia="仿宋" w:cs="Times New Roman"/>
          <w:b/>
          <w:sz w:val="28"/>
        </w:rPr>
        <w:t>一、从64.25%到99.00%：交易前控股状态与产业整合的治理诉求</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总对价67,347.11万元，其中发行股份对价51,992.06万元，发行价格14.39元/股；购买上海富驰34.75%股权；时间线包括2026-04-30：上交所并购重组审核委员会审核通过本次交易（公告编号：2026-035）；2026-07-30：中国证监会出具同意注册批复（证监许可〔2026〕180。</w:t>
      </w:r>
    </w:p>
    <w:p>
      <w:pPr>
        <w:spacing w:before="0" w:after="0" w:line="240" w:lineRule="auto" w:beforeLines="0" w:afterLines="0"/>
        <w:jc w:val="both"/>
        <w:ind w:firstLineChars="200"/>
      </w:pPr>
      <w:r>
        <w:rPr>
          <w:rFonts w:ascii="Times New Roman" w:hAnsi="Times New Roman" w:eastAsia="仿宋" w:cs="Times New Roman"/>
          <w:b w:val="0"/>
          <w:sz w:val="28"/>
        </w:rPr>
        <w:t>交易前，东睦股份直接持有上海富驰64.25%股权，为控股股东，上海富驰已纳入上市公司合并报表。其余34.75%股权分散在5名少数股东手中：远致星火持有14.0000%，钟伟持有13.6719%，创精投资、宁波华莞、宁波富精合计持有约7.08%。控股但未全资的股权结构在子公司层面形成治理成本。虽然东睦股份在股东会表决中占绝对多数，但少数股东仍依法享有利润分配请。</w:t>
      </w:r>
    </w:p>
    <w:p>
      <w:pPr>
        <w:spacing w:before="0" w:after="0" w:line="240" w:lineRule="auto" w:beforeLines="0" w:afterLines="0"/>
        <w:jc w:val="both"/>
        <w:ind w:firstLineChars="200"/>
      </w:pPr>
      <w:r>
        <w:rPr>
          <w:rFonts w:ascii="Times New Roman" w:hAnsi="Times New Roman" w:eastAsia="仿宋" w:cs="Times New Roman"/>
          <w:b w:val="0"/>
          <w:sz w:val="28"/>
        </w:rPr>
        <w:t>东睦股份与上海富驰同处新材料产业，公告未披露上海富驰的具体产品、客户或财务数据，但东睦股份将其作为控股子公司纳入合并报表并持续增持，显然将其视为上市公司平台内的核心经营资产。在缺少更细经营数据的情况下，从控制权集中和利润归集角度理解本次产业整合，是交易最直接可见的目标。持股比例提升至99.00%后，少数股东仅剩约1%，其影响力降至极低。上市公司可在技术路线。</w:t>
      </w:r>
    </w:p>
    <w:p>
      <w:pPr>
        <w:spacing w:before="0" w:after="0" w:line="240" w:lineRule="auto" w:beforeLines="0" w:afterLines="0"/>
        <w:jc w:val="both"/>
        <w:ind w:firstLineChars="200"/>
      </w:pPr>
      <w:r>
        <w:rPr>
          <w:rFonts w:ascii="Times New Roman" w:hAnsi="Times New Roman" w:eastAsia="仿宋" w:cs="Times New Roman"/>
          <w:b w:val="0"/>
          <w:sz w:val="28"/>
        </w:rPr>
        <w:t>本次交易将5名股东全部纳入对价范围，一次性解决分散的少数股权问题。交易对方均于2026年8月7日前配合完成资产过户并出具《股份交割确认函》，表明其对上市公司履约能力和交易方案的认可。交易完成后，上海富驰几乎成为东睦股份的全资子公司，整合阻力显著下降，东睦股份在同类资产整合中的控制力得到实质性强化。</w:t>
      </w:r>
    </w:p>
    <w:p>
      <w:pPr>
        <w:spacing w:before="0" w:after="0" w:line="240" w:lineRule="auto" w:beforeLines="0" w:afterLines="0"/>
        <w:jc w:val="left"/>
        <w:ind w:firstLineChars="200"/>
      </w:pPr>
      <w:r>
        <w:rPr>
          <w:rFonts w:ascii="Times New Roman" w:hAnsi="Times New Roman" w:eastAsia="仿宋" w:cs="Times New Roman"/>
          <w:b/>
          <w:sz w:val="28"/>
        </w:rPr>
        <w:t>二、支付结构拆解：77.2%股份对价如何降低现金压力并绑定对手方</w:t>
      </w:r>
    </w:p>
    <w:p>
      <w:pPr>
        <w:spacing w:before="0" w:after="0" w:line="240" w:lineRule="auto" w:beforeLines="0" w:afterLines="0"/>
        <w:jc w:val="both"/>
        <w:ind w:firstLineChars="200"/>
      </w:pPr>
      <w:r>
        <w:rPr>
          <w:rFonts w:ascii="Times New Roman" w:hAnsi="Times New Roman" w:eastAsia="仿宋" w:cs="Times New Roman"/>
          <w:b w:val="0"/>
          <w:sz w:val="28"/>
        </w:rPr>
        <w:t>交易总对价67,347.11万元，其中股份对价51,992.06万元，现金对价15,355.05万元，股份对价占比约77.2%。按调整后发行价格14.39元/股计算，预计发行股份数量为36,130,688股。这一支付组合显著偏向股份支付，直接效果是将上市公司约5.2亿元即期现金支出转为股份支付，为后续募集配套资金和日常经营保留流动性空间，同时将原少数股东由子公司股东转化为上市公司股东，形成利益共同体。</w:t>
      </w:r>
    </w:p>
    <w:p>
      <w:pPr>
        <w:spacing w:before="0" w:after="0" w:line="240" w:lineRule="auto" w:beforeLines="0" w:afterLines="0"/>
        <w:jc w:val="both"/>
        <w:ind w:firstLineChars="200"/>
      </w:pPr>
      <w:r>
        <w:rPr>
          <w:rFonts w:ascii="Times New Roman" w:hAnsi="Times New Roman" w:eastAsia="仿宋" w:cs="Times New Roman"/>
          <w:b w:val="0"/>
          <w:sz w:val="28"/>
        </w:rPr>
        <w:t>不同交易对方的支付安排呈现差异化。远致星火持有14.0000%股权，获得全部对价30,729.03万元，且全部以股份支付；钟伟持有13.6719%股权，获得现金对价11,042.32万元，剩余以股份支付。远致星火作为私募股权投资基金，全部接受股份对价可能与基金存续期安排或对上市公司长期价值的认可有关；钟伟作为自然人，接受部分现金可能反映其个人资金需求。创精投。</w:t>
      </w:r>
    </w:p>
    <w:p>
      <w:pPr>
        <w:spacing w:before="0" w:after="0" w:line="240" w:lineRule="auto" w:beforeLines="0" w:afterLines="0"/>
        <w:jc w:val="both"/>
        <w:ind w:firstLineChars="200"/>
      </w:pPr>
      <w:r>
        <w:rPr>
          <w:rFonts w:ascii="Times New Roman" w:hAnsi="Times New Roman" w:eastAsia="仿宋" w:cs="Times New Roman"/>
          <w:b w:val="0"/>
          <w:sz w:val="28"/>
        </w:rPr>
        <w:t>原少数股东通过换股成为上市公司股东，其利益诉求从子公司层面转移至上市公司整体层面。这种安排使得原少数股东与控股股东在利润分配、股价表现上趋于一致，降低了整合后子公司层面的管理摩擦。同时，发行股份购买资产所取得的股份通常设有法定锁定期，客观上也延长了交易对方与上市公司的利益绑定时间，减少短期套现压力，为交割后的整合稳定提供缓冲。</w:t>
      </w:r>
    </w:p>
    <w:p>
      <w:pPr>
        <w:spacing w:before="0" w:after="0" w:line="240" w:lineRule="auto" w:beforeLines="0" w:afterLines="0"/>
        <w:jc w:val="left"/>
        <w:ind w:firstLineChars="200"/>
      </w:pPr>
      <w:r>
        <w:rPr>
          <w:rFonts w:ascii="Times New Roman" w:hAnsi="Times New Roman" w:eastAsia="仿宋" w:cs="Times New Roman"/>
          <w:b/>
          <w:sz w:val="28"/>
        </w:rPr>
        <w:t>三、发行价格调整、监管审核与分步交割安排</w:t>
      </w:r>
    </w:p>
    <w:p>
      <w:pPr>
        <w:spacing w:before="0" w:after="0" w:line="240" w:lineRule="auto" w:beforeLines="0" w:afterLines="0"/>
        <w:jc w:val="both"/>
        <w:ind w:firstLineChars="200"/>
      </w:pPr>
      <w:r>
        <w:rPr>
          <w:rFonts w:ascii="Times New Roman" w:hAnsi="Times New Roman" w:eastAsia="仿宋" w:cs="Times New Roman"/>
          <w:b w:val="0"/>
          <w:sz w:val="28"/>
        </w:rPr>
        <w:t>本次发行股份购买资产的发行价格最初确定为14.39元/股，因上市公司实施2024年年度及2025年年度权益分派方案，发行价格相应调整为14.39元/股，下调0.60元，幅度约4.0%。该调整符合A股发行股份购买资产的通行规则：定价基准日至发行日期间发生派息、送股等除权除息事项时，发行价格必须按规则修正。调整后发行数量增至36,130,688股，较原计划增加。</w:t>
      </w:r>
    </w:p>
    <w:p>
      <w:pPr>
        <w:spacing w:before="0" w:after="0" w:line="240" w:lineRule="auto" w:beforeLines="0" w:afterLines="0"/>
        <w:jc w:val="both"/>
        <w:ind w:firstLineChars="200"/>
      </w:pPr>
      <w:r>
        <w:rPr>
          <w:rFonts w:ascii="Times New Roman" w:hAnsi="Times New Roman" w:eastAsia="仿宋" w:cs="Times New Roman"/>
          <w:b w:val="0"/>
          <w:sz w:val="28"/>
        </w:rPr>
        <w:t>监管流程方面，2026年4月30日上海证券交易所并购重组审核委员会审核通过本次交易（公告编号2026-035）；2026年7月30日中国证券监督管理委员会出具同意注册批复（证监许可〔2026〕1808号）；2026年8月7日公司公告标的资产过户完成（公告编号2026-058）。从交易所审核通过到证监会注册批复约3个月，再到资产过户约1周，整体节奏符合注册制下发行股份购买资产的标准周期。</w:t>
      </w:r>
    </w:p>
    <w:p>
      <w:pPr>
        <w:spacing w:before="0" w:after="0" w:line="240" w:lineRule="auto" w:beforeLines="0" w:afterLines="0"/>
        <w:jc w:val="both"/>
        <w:ind w:firstLineChars="200"/>
      </w:pPr>
      <w:r>
        <w:rPr>
          <w:rFonts w:ascii="Times New Roman" w:hAnsi="Times New Roman" w:eastAsia="仿宋" w:cs="Times New Roman"/>
          <w:b w:val="0"/>
          <w:sz w:val="28"/>
        </w:rPr>
        <w:t>值得注意的是，截至公告日，资产过户已完成，但东睦股份暂未完成向相关交易对方发行股份和支付现金对价事项，也暂未完成发行股份募集配套资金事项。这种分步交割设计将资产过户与股份发行、现金支付、配套融资相分离：上市公司先取得标的资产所有权，再根据募集配套资金进展向交易对方支付对价。独立财务顾问中国国际金融股份有限公司和法律顾问上海市锦天城律师事务所均出具核查意见，认。</w:t>
      </w:r>
    </w:p>
    <w:p>
      <w:pPr>
        <w:spacing w:before="0" w:after="0" w:line="240" w:lineRule="auto" w:beforeLines="0" w:afterLines="0"/>
        <w:jc w:val="left"/>
        <w:ind w:firstLineChars="200"/>
      </w:pPr>
      <w:r>
        <w:rPr>
          <w:rFonts w:ascii="Times New Roman" w:hAnsi="Times New Roman" w:eastAsia="仿宋" w:cs="Times New Roman"/>
          <w:b/>
          <w:sz w:val="28"/>
        </w:rPr>
        <w:t>四、财务影响与治理边界：少数股权收购的合并报表效应</w:t>
      </w:r>
    </w:p>
    <w:p>
      <w:pPr>
        <w:spacing w:before="0" w:after="0" w:line="240" w:lineRule="auto" w:beforeLines="0" w:afterLines="0"/>
        <w:jc w:val="both"/>
        <w:ind w:firstLineChars="200"/>
      </w:pPr>
      <w:r>
        <w:rPr>
          <w:rFonts w:ascii="Times New Roman" w:hAnsi="Times New Roman" w:eastAsia="仿宋" w:cs="Times New Roman"/>
          <w:b w:val="0"/>
          <w:sz w:val="28"/>
        </w:rPr>
        <w:t>本次购买上海富驰34.75%少数股权，由于上海富驰已是东睦股份控股子公司，该交易在合并财务报表中属于购买子公司少数股东权益，不改变合并范围，不确认新的商誉。按照现行会计准则，支付对价与取得的少数股东权益账面价值之间的差额应调整资本公积，不影响当期损益。因此，本次交易对东睦股份的利润表无直接影响，但会减少少数股东权益、增加归属于母公司股东的净资产，同时因发行新股导致股本增加、资本公积变动。</w:t>
      </w:r>
    </w:p>
    <w:p>
      <w:pPr>
        <w:spacing w:before="0" w:after="0" w:line="240" w:lineRule="auto" w:beforeLines="0" w:afterLines="0"/>
        <w:jc w:val="both"/>
        <w:ind w:firstLineChars="200"/>
      </w:pPr>
      <w:r>
        <w:rPr>
          <w:rFonts w:ascii="Times New Roman" w:hAnsi="Times New Roman" w:eastAsia="仿宋" w:cs="Times New Roman"/>
          <w:b w:val="0"/>
          <w:sz w:val="28"/>
        </w:rPr>
        <w:t>治理边界方面，交易完成后东睦股份持股比例升至99.00%，仅剩约1%少数股东，上海富驰在股东会层面的表决几乎完全由东睦股份控制，子公司的利润分配、对外投资、重大资产处置等事项均可由上市公司单方决定，减少沟通成本和潜在僵局。剩余1%少数股东虽不构成实质障碍，但若上市公司未来追求彻底全资，仍可通过协议收购或减资方式处理。</w:t>
      </w:r>
    </w:p>
    <w:p>
      <w:pPr>
        <w:spacing w:before="0" w:after="0" w:line="240" w:lineRule="auto" w:beforeLines="0" w:afterLines="0"/>
        <w:jc w:val="both"/>
        <w:ind w:firstLineChars="200"/>
      </w:pPr>
      <w:r>
        <w:rPr>
          <w:rFonts w:ascii="Times New Roman" w:hAnsi="Times New Roman" w:eastAsia="仿宋" w:cs="Times New Roman"/>
          <w:b w:val="0"/>
          <w:sz w:val="28"/>
        </w:rPr>
        <w:t>产业位置判断上，本次交易属于</w:t>
      </w:r>
      <w:r>
        <w:rPr>
          <w:rFonts w:ascii="Times New Roman" w:hAnsi="Times New Roman" w:eastAsia="Times New Roman" w:cs="Times New Roman"/>
          <w:b w:val="0"/>
          <w:sz w:val="28"/>
        </w:rPr>
        <w:t>“</w:t>
      </w:r>
      <w:r>
        <w:rPr>
          <w:rFonts w:ascii="Times New Roman" w:hAnsi="Times New Roman" w:eastAsia="仿宋" w:cs="Times New Roman"/>
          <w:b w:val="0"/>
          <w:sz w:val="28"/>
        </w:rPr>
        <w:t>依托上市平台持续整合同类资产</w:t>
      </w:r>
      <w:r>
        <w:rPr>
          <w:rFonts w:ascii="Times New Roman" w:hAnsi="Times New Roman" w:eastAsia="Times New Roman" w:cs="Times New Roman"/>
          <w:b w:val="0"/>
          <w:sz w:val="28"/>
        </w:rPr>
        <w:t>”</w:t>
      </w:r>
      <w:r>
        <w:rPr>
          <w:rFonts w:ascii="Times New Roman" w:hAnsi="Times New Roman" w:eastAsia="仿宋" w:cs="Times New Roman"/>
          <w:b w:val="0"/>
          <w:sz w:val="28"/>
        </w:rPr>
        <w:t>的典型样本。上市公司利用自身股份作为支付工具，将控股子公司的少数股权收归麾下，无需大量现金即可完成控制权升级。公告未披露上海富驰的具体经营数据，因此无法评估标的资产在客户、产能或技术层面的独立价值，但从治理集中和利润归集角度，本次增持从64.25%到99.00%的幅度足以表明上市公司对核心资产的整合意图。</w:t>
      </w:r>
    </w:p>
    <w:p>
      <w:pPr>
        <w:spacing w:before="0" w:after="0" w:line="240" w:lineRule="auto" w:beforeLines="0" w:afterLines="0"/>
        <w:jc w:val="left"/>
        <w:ind w:firstLineChars="200"/>
      </w:pPr>
      <w:r>
        <w:rPr>
          <w:rFonts w:ascii="Times New Roman" w:hAnsi="Times New Roman" w:eastAsia="仿宋" w:cs="Times New Roman"/>
          <w:b/>
          <w:sz w:val="28"/>
        </w:rPr>
        <w:t>五、结语：现金支付与业务承接的核验方法</w:t>
      </w:r>
    </w:p>
    <w:p>
      <w:pPr>
        <w:spacing w:before="0" w:after="0" w:line="240" w:lineRule="auto" w:beforeLines="0" w:afterLines="0"/>
        <w:jc w:val="both"/>
        <w:ind w:firstLineChars="200"/>
      </w:pPr>
      <w:r>
        <w:rPr>
          <w:rFonts w:ascii="Times New Roman" w:hAnsi="Times New Roman" w:eastAsia="仿宋" w:cs="Times New Roman"/>
          <w:b w:val="0"/>
          <w:sz w:val="28"/>
        </w:rPr>
        <w:t>东睦股份以总对价67,347.11万元收购上海富驰34.75%少数股权，将持股比例从64.25%提升至99.00%，采用77.2%股份对价加22.8%现金对价的组合，发行价格因权益分派自14.39元/股调整至14.39元/股，预计发行36,130,688股。交易对方远致星火获得全部股份对价30,729.03万元，钟伟获得现金对价11,042.32万元及剩余股份。交割过程为资产过户先行，股份发行和现金支付后置，配套融资尚未完成。</w:t>
      </w:r>
    </w:p>
    <w:p>
      <w:pPr>
        <w:spacing w:before="0" w:after="0" w:line="240" w:lineRule="auto" w:beforeLines="0" w:afterLines="0"/>
        <w:jc w:val="both"/>
        <w:ind w:firstLineChars="200"/>
      </w:pPr>
      <w:r>
        <w:rPr>
          <w:rFonts w:ascii="Times New Roman" w:hAnsi="Times New Roman" w:eastAsia="仿宋" w:cs="Times New Roman"/>
          <w:b w:val="0"/>
          <w:sz w:val="28"/>
        </w:rPr>
        <w:t>从方法论角度，本案例为上市公司整合控股子公司少数股权提供了三条可操作经验。第一，发行股份购买资产是控制权集中且现金储备有限时的有效工具，既减少现金流出，又通过换股绑定原少数股东，将子公司层面的治理摩擦转化为上市公司层面的共同利益。第二，支付结构应根据交易对方属性差异化设计：财务投资者可接受全股份以保持流动性，自然人股东可能需要部分现金变现，远致星火与钟伟的差异化安排即为印证。第三，分步交割和发行价格调整机制为交易提供了风险缓释和公允性保障，同类交易应充分利用规则工具箱，在协议中明确过户、对价支付和配套融资的时间衔接。</w:t>
      </w:r>
    </w:p>
    <w:p>
      <w:pPr>
        <w:spacing w:before="0" w:after="0" w:line="240" w:lineRule="auto" w:beforeLines="0" w:afterLines="0"/>
        <w:jc w:val="both"/>
        <w:ind w:firstLineChars="200"/>
      </w:pPr>
      <w:r>
        <w:rPr>
          <w:rFonts w:ascii="Times New Roman" w:hAnsi="Times New Roman" w:eastAsia="仿宋" w:cs="Times New Roman"/>
          <w:b w:val="0"/>
          <w:sz w:val="28"/>
        </w:rPr>
        <w:t>本次交易未披露买方和卖方的主观动机，但从条款逻辑看，东睦股份通过收购少数股权实现几乎全资控股，强化了对核心资产的利润归集和战略控制；交易对方通过换股获得上市公司流动性股份或部分现金，实现权益退出或再配置。剩余1%少数股东的存在不影响控制权集中，但若追求彻底全资，未来仍有操作空间。东睦股份收购上海富驰少数股权一案，在</w:t>
      </w:r>
      <w:r>
        <w:rPr>
          <w:rFonts w:ascii="Times New Roman" w:hAnsi="Times New Roman" w:eastAsia="Times New Roman" w:cs="Times New Roman"/>
          <w:b w:val="0"/>
          <w:sz w:val="28"/>
        </w:rPr>
        <w:t>“</w:t>
      </w:r>
      <w:r>
        <w:rPr>
          <w:rFonts w:ascii="Times New Roman" w:hAnsi="Times New Roman" w:eastAsia="仿宋" w:cs="Times New Roman"/>
          <w:b w:val="0"/>
          <w:sz w:val="28"/>
        </w:rPr>
        <w:t>依托上市平台持续整合同类资产</w:t>
      </w:r>
      <w:r>
        <w:rPr>
          <w:rFonts w:ascii="Times New Roman" w:hAnsi="Times New Roman" w:eastAsia="Times New Roman" w:cs="Times New Roman"/>
          <w:b w:val="0"/>
          <w:sz w:val="28"/>
        </w:rPr>
        <w:t>”</w:t>
      </w:r>
      <w:r>
        <w:rPr>
          <w:rFonts w:ascii="Times New Roman" w:hAnsi="Times New Roman" w:eastAsia="仿宋" w:cs="Times New Roman"/>
          <w:b w:val="0"/>
          <w:sz w:val="28"/>
        </w:rPr>
        <w:t>框架下，展示了以股份支付为主导、以控制权集中为目标的整合路径，其支付结构、价格调整与分步交割安排对A股同类交易具有清晰的参考价值。</w:t>
      </w:r>
    </w:p>
    <w:p>
      <w:pPr>
        <w:spacing w:before="0" w:after="0" w:line="240" w:lineRule="auto" w:beforeLines="0" w:afterLines="0"/>
        <w:jc w:val="both"/>
        <w:ind w:firstLineChars="200"/>
      </w:pPr>
      <w:r>
        <w:rPr>
          <w:rFonts w:ascii="Times New Roman" w:hAnsi="Times New Roman" w:eastAsia="仿宋" w:cs="Times New Roman"/>
          <w:b w:val="0"/>
          <w:sz w:val="28"/>
        </w:rPr>
        <w:t>回到东睦新材料集团与上海富驰高科技股份有，本案的方法论意义不在于把交易结果写成通用并购总结，而在于把总对价67,347.11万元，其中发行股份对价51,992.06万元，发行价格14.39元/股；购买上海富驰34.75%股权、34.75%股权（标的资产）；99.00%（交易后东睦股份持股比例）；67,347.11万元（交易总对价）；51,992.06万元（股份对价）、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东睦新材料集团而言，关键是交割承接和整合节奏能否与已披露安排匹配；对上海富驰高科技股份有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