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赛力斯集团收购重庆两江新区龙盛新能：股权比例与治理安排</w:t>
      </w:r>
    </w:p>
    <w:p>
      <w:pPr>
        <w:spacing w:before="0" w:after="0" w:line="240" w:lineRule="auto" w:beforeLines="0" w:afterLines="0"/>
        <w:jc w:val="both"/>
        <w:ind w:firstLineChars="200"/>
      </w:pPr>
      <w:r>
        <w:rPr>
          <w:rFonts w:ascii="Times New Roman" w:hAnsi="Times New Roman" w:eastAsia="仿宋" w:cs="Times New Roman"/>
          <w:b w:val="0"/>
          <w:sz w:val="28"/>
        </w:rPr>
        <w:t>本案例涉及赛力斯集团股份有限公司（下称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赛力斯</w:t>
      </w:r>
      <w:r>
        <w:rPr>
          <w:rFonts w:ascii="Times New Roman" w:hAnsi="Times New Roman" w:eastAsia="Times New Roman" w:cs="Times New Roman"/>
          <w:b w:val="0"/>
          <w:sz w:val="28"/>
        </w:rPr>
        <w:t>”</w:t>
      </w:r>
      <w:r>
        <w:rPr>
          <w:rFonts w:ascii="Times New Roman" w:hAnsi="Times New Roman" w:eastAsia="仿宋" w:cs="Times New Roman"/>
          <w:b w:val="0"/>
          <w:sz w:val="28"/>
        </w:rPr>
        <w:t>）收购重庆两江新区龙盛新能源科技有限责任公司（下称</w:t>
      </w:r>
      <w:r>
        <w:rPr>
          <w:rFonts w:ascii="Times New Roman" w:hAnsi="Times New Roman" w:eastAsia="Times New Roman" w:cs="Times New Roman"/>
          <w:b w:val="0"/>
          <w:sz w:val="28"/>
        </w:rPr>
        <w:t>“</w:t>
      </w:r>
      <w:r>
        <w:rPr>
          <w:rFonts w:ascii="Times New Roman" w:hAnsi="Times New Roman" w:eastAsia="仿宋" w:cs="Times New Roman"/>
          <w:b w:val="0"/>
          <w:sz w:val="28"/>
        </w:rPr>
        <w:t>重庆两江新区龙盛新能源科技</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中信建投证券股份有限公司关于赛力斯集团股份有限公司发行股份购买资产之标的资产过户情况的独立财务顾问核查意见》，目标线索为获取新能源资产，保障电池供应，完善产业链。赛力斯集团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赛力斯</w:t>
      </w:r>
      <w:r>
        <w:rPr>
          <w:rFonts w:ascii="Times New Roman" w:hAnsi="Times New Roman" w:eastAsia="Times New Roman" w:cs="Times New Roman"/>
          <w:b w:val="0"/>
          <w:sz w:val="28"/>
        </w:rPr>
        <w:t>”</w:t>
      </w:r>
      <w:r>
        <w:rPr>
          <w:rFonts w:ascii="Times New Roman" w:hAnsi="Times New Roman" w:eastAsia="仿宋" w:cs="Times New Roman"/>
          <w:b w:val="0"/>
          <w:sz w:val="28"/>
        </w:rPr>
        <w:t>）以发行股份方式购买重庆两江新区龙盛新能源科技有限责任公司（下称</w:t>
      </w:r>
      <w:r>
        <w:rPr>
          <w:rFonts w:ascii="Times New Roman" w:hAnsi="Times New Roman" w:eastAsia="Times New Roman" w:cs="Times New Roman"/>
          <w:b w:val="0"/>
          <w:sz w:val="28"/>
        </w:rPr>
        <w:t>“</w:t>
      </w:r>
      <w:r>
        <w:rPr>
          <w:rFonts w:ascii="Times New Roman" w:hAnsi="Times New Roman" w:eastAsia="仿宋" w:cs="Times New Roman"/>
          <w:b w:val="0"/>
          <w:sz w:val="28"/>
        </w:rPr>
        <w:t>龙盛新能源</w:t>
      </w:r>
      <w:r>
        <w:rPr>
          <w:rFonts w:ascii="Times New Roman" w:hAnsi="Times New Roman" w:eastAsia="Times New Roman" w:cs="Times New Roman"/>
          <w:b w:val="0"/>
          <w:sz w:val="28"/>
        </w:rPr>
        <w:t>”</w:t>
      </w:r>
      <w:r>
        <w:rPr>
          <w:rFonts w:ascii="Times New Roman" w:hAnsi="Times New Roman" w:eastAsia="仿宋" w:cs="Times New Roman"/>
          <w:b w:val="0"/>
          <w:sz w:val="28"/>
        </w:rPr>
        <w:t>）100%股权，交易作价816,395.20万元，于2025年3月完成资产过户。本次交易不构成关联交易，但构成重大资产重组，并采用资产基础法评估定价。买方动机为获取新能源资产、保障电池供应、完善产业链；卖方接受股份对价客观上实现国资资产证券化。该案例提供了重资产产业并购中支付方式、评估方法与治理边界的清晰观察样本。</w:t>
      </w:r>
    </w:p>
    <w:p>
      <w:pPr>
        <w:spacing w:before="0" w:after="0" w:line="240" w:lineRule="auto" w:beforeLines="0" w:afterLines="0"/>
        <w:jc w:val="left"/>
        <w:ind w:firstLineChars="200"/>
      </w:pPr>
      <w:r>
        <w:rPr>
          <w:rFonts w:ascii="Times New Roman" w:hAnsi="Times New Roman" w:eastAsia="仿宋" w:cs="Times New Roman"/>
          <w:b/>
          <w:sz w:val="28"/>
        </w:rPr>
        <w:t>一、交易双方画像与交易缘起</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816,395.20万元；时间线包括2024年6月30日：评估基准日/审计基准日；2025年3月：标的资产过户完成，独立财务顾问核查意见出具；关键数字包括交易金额/估值：816,395.20万元；评估方法：资产基础法；评估基准日：2024年6月30日；交易对方：重庆产业母基金、两江投资集团、两江产业集团，合计持有龙盛新能源100%股权。已抓取资料中的财务和经营线索为公开资料未完整披露标的公司财务数据；可确认标的公司2023年度资产总额约705,052万元（据核查意见中购买资产相关财务数据比较表）。收购方、买方和并购方的购买理由需要回到获取新能源资产，保障电池供应，完善产业链；出售方、转让方或预受要约股东的接受安排依据为公开资料未单独披露出售方主观原因；可引用的接受安排依据为并购方：赛力斯集团股份有限公司并购标的：重庆两江新区龙盛新能源科技有限责任公司交易金额/估值：816,395.20万元交易状态/完成年份：已完成过户。因此，后文只围绕已披露的股权比例、支付方式、交易价格、资产、客户、产能、技术、治理边界、交割条件、现金流、负债、收入和净利润影响展开，未披露事项作为资料核验边界处理。</w:t>
      </w:r>
    </w:p>
    <w:p>
      <w:pPr>
        <w:spacing w:before="0" w:after="0" w:line="240" w:lineRule="auto" w:beforeLines="0" w:afterLines="0"/>
        <w:jc w:val="both"/>
        <w:ind w:firstLineChars="200"/>
      </w:pPr>
      <w:r>
        <w:rPr>
          <w:rFonts w:ascii="Times New Roman" w:hAnsi="Times New Roman" w:eastAsia="仿宋" w:cs="Times New Roman"/>
          <w:b w:val="0"/>
          <w:sz w:val="28"/>
        </w:rPr>
        <w:t>赛力斯是A股新能源汽车整车制造上市公司，规模化销量已形成，但公开资料未披露其股票代码及2023年度详细财务数据。龙盛新能源由重庆产业投资母基金合伙企业（有限合伙）、重庆两江新区开发投资集团有限公司、重庆两江新区产业发展集团有限公司三家国资主体合计持有100%股权，主营业务为提供新能源汽车工厂，核心资产为位于重庆两江新区的工厂设施。据核查意见，标的公司2023年度资产总额约705,052万元，收入、净利润未完整披露。</w:t>
      </w:r>
    </w:p>
    <w:p>
      <w:pPr>
        <w:spacing w:before="0" w:after="0" w:line="240" w:lineRule="auto" w:beforeLines="0" w:afterLines="0"/>
        <w:jc w:val="both"/>
        <w:ind w:firstLineChars="200"/>
      </w:pPr>
      <w:r>
        <w:rPr>
          <w:rFonts w:ascii="Times New Roman" w:hAnsi="Times New Roman" w:eastAsia="仿宋" w:cs="Times New Roman"/>
          <w:b w:val="0"/>
          <w:sz w:val="28"/>
        </w:rPr>
        <w:t>交易前，赛力斯需保障新能源汽车生产所需关键资产和电池供应，龙盛新能源的工厂资产与其制造基地形成区域配套。2024年6月30日为评估基准日，赛力斯与三家国资股东签署《发行股份购买资产协议》及补充协议，拟通过发行股份购买龙盛新能源100%股权。2025年3月，中信建投证券出具标的资产过户情况核查意见，确认资产过户完成。交易完成后，赛力斯将龙盛新能源纳入上市体系，实现产业链补链。</w:t>
      </w:r>
    </w:p>
    <w:p>
      <w:pPr>
        <w:spacing w:before="0" w:after="0" w:line="240" w:lineRule="auto" w:beforeLines="0" w:afterLines="0"/>
        <w:jc w:val="left"/>
        <w:ind w:firstLineChars="200"/>
      </w:pPr>
      <w:r>
        <w:rPr>
          <w:rFonts w:ascii="Times New Roman" w:hAnsi="Times New Roman" w:eastAsia="仿宋" w:cs="Times New Roman"/>
          <w:b/>
          <w:sz w:val="28"/>
        </w:rPr>
        <w:t>二、发行股份购买资产：支付结构与非关联交易边界</w:t>
      </w:r>
    </w:p>
    <w:p>
      <w:pPr>
        <w:spacing w:before="0" w:after="0" w:line="240" w:lineRule="auto" w:beforeLines="0" w:afterLines="0"/>
        <w:jc w:val="both"/>
        <w:ind w:firstLineChars="200"/>
      </w:pPr>
      <w:r>
        <w:rPr>
          <w:rFonts w:ascii="Times New Roman" w:hAnsi="Times New Roman" w:eastAsia="仿宋" w:cs="Times New Roman"/>
          <w:b w:val="0"/>
          <w:sz w:val="28"/>
        </w:rPr>
        <w:t>本次交易采用发行股份购买资产方式，赛力斯以新增A股股份向三家国资股东支付全部对价816,395.20万元，不涉及现金支付。股份支付在重资产并购中具有双重作用：一方面避免一次性巨额现金流出，缓解上市公司资金压力；另一方面将国资股东由标的股权持有者转变为上市公司股东，形成利益绑定。核查意见明确，交易完成后无交易对方持有赛力斯股份超过5%，因此不构成关联交易。该认定基于交易前交易对方与上市公司及关联方不存在关联关系，但三家股东均为重庆国资体系，后续需关注其与上市公司实际控制人之间是否存在间接关联，公开文件未显示此种关联存在。</w:t>
      </w:r>
    </w:p>
    <w:p>
      <w:pPr>
        <w:spacing w:before="0" w:after="0" w:line="240" w:lineRule="auto" w:beforeLines="0" w:afterLines="0"/>
        <w:jc w:val="both"/>
        <w:ind w:firstLineChars="200"/>
      </w:pPr>
      <w:r>
        <w:rPr>
          <w:rFonts w:ascii="Times New Roman" w:hAnsi="Times New Roman" w:eastAsia="仿宋" w:cs="Times New Roman"/>
          <w:b w:val="0"/>
          <w:sz w:val="28"/>
        </w:rPr>
        <w:t>本次交易构成《上市公司重大资产重组管理办法》规定的重大资产重组，但不构成重组上市，因交易前后上市公司控制权未发生变化。交易对方虽为多方，但总对价与评估值一致，且采用统一的股份支付方式，简化了多方交易结构，也避免了部分交易对方要求现金退出而产生的估值分歧。</w:t>
      </w:r>
    </w:p>
    <w:p>
      <w:pPr>
        <w:spacing w:before="0" w:after="0" w:line="240" w:lineRule="auto" w:beforeLines="0" w:afterLines="0"/>
        <w:jc w:val="left"/>
        <w:ind w:firstLineChars="200"/>
      </w:pPr>
      <w:r>
        <w:rPr>
          <w:rFonts w:ascii="Times New Roman" w:hAnsi="Times New Roman" w:eastAsia="仿宋" w:cs="Times New Roman"/>
          <w:b/>
          <w:sz w:val="28"/>
        </w:rPr>
        <w:t>三、资产基础法定价与无业绩补偿的相容性</w:t>
      </w:r>
    </w:p>
    <w:p>
      <w:pPr>
        <w:spacing w:before="0" w:after="0" w:line="240" w:lineRule="auto" w:beforeLines="0" w:afterLines="0"/>
        <w:jc w:val="both"/>
        <w:ind w:firstLineChars="200"/>
      </w:pPr>
      <w:r>
        <w:rPr>
          <w:rFonts w:ascii="Times New Roman" w:hAnsi="Times New Roman" w:eastAsia="仿宋" w:cs="Times New Roman"/>
          <w:b w:val="0"/>
          <w:sz w:val="28"/>
        </w:rPr>
        <w:t>标的资产评估基准日为2024年6月30日，评估机构中京民信（北京）资产评估有限公司采用资产基础法，评估结果为816,395.20万元，交易价格与评估值一致。龙盛新能源核心资产为新能源汽车工厂，价值主要体现为土地、厂房、设备等可辨认净资产的公允价值，而非持续经营收益，采用资产基础法而非收益法符合该类资产的经济属性，也避免了因未来产能利用率不确定而导致的收益预测失真。</w:t>
      </w:r>
    </w:p>
    <w:p>
      <w:pPr>
        <w:spacing w:before="0" w:after="0" w:line="240" w:lineRule="auto" w:beforeLines="0" w:afterLines="0"/>
        <w:jc w:val="both"/>
        <w:ind w:firstLineChars="200"/>
      </w:pPr>
      <w:r>
        <w:rPr>
          <w:rFonts w:ascii="Times New Roman" w:hAnsi="Times New Roman" w:eastAsia="仿宋" w:cs="Times New Roman"/>
          <w:b w:val="0"/>
          <w:sz w:val="28"/>
        </w:rPr>
        <w:t>标的公司2023年度资产总额约705,052万元，交易对价高于该资产总额约111,343.20万元，溢价部分可能反映固定资产评估增值或土地使用权增值，但负债及净资产金额未披露，无法计算评估增值率。无业绩补偿承诺的安排与资产基础法定价相匹配：交易对价主要依据资产重置价值而非盈利预测确定时，资产完整性可通过交割时产权转移得以验证，无需对赌未来业绩。但标的公司负债将随股权转移至上市公司，资产负债率可能上升，后续需关注债务承接与现金流规划。</w:t>
      </w:r>
    </w:p>
    <w:p>
      <w:pPr>
        <w:spacing w:before="0" w:after="0" w:line="240" w:lineRule="auto" w:beforeLines="0" w:afterLines="0"/>
        <w:jc w:val="left"/>
        <w:ind w:firstLineChars="200"/>
      </w:pPr>
      <w:r>
        <w:rPr>
          <w:rFonts w:ascii="Times New Roman" w:hAnsi="Times New Roman" w:eastAsia="仿宋" w:cs="Times New Roman"/>
          <w:b/>
          <w:sz w:val="28"/>
        </w:rPr>
        <w:t>四、国资股东的证券化退出与治理约束</w:t>
      </w:r>
    </w:p>
    <w:p>
      <w:pPr>
        <w:spacing w:before="0" w:after="0" w:line="240" w:lineRule="auto" w:beforeLines="0" w:afterLines="0"/>
        <w:jc w:val="both"/>
        <w:ind w:firstLineChars="200"/>
      </w:pPr>
      <w:r>
        <w:rPr>
          <w:rFonts w:ascii="Times New Roman" w:hAnsi="Times New Roman" w:eastAsia="仿宋" w:cs="Times New Roman"/>
          <w:b w:val="0"/>
          <w:sz w:val="28"/>
        </w:rPr>
        <w:t>公开资料未单独披露三家国资股东出售龙盛新能源的主观原因，但接受上市公司股份作为对价，客观上实现了国资资产证券化。重庆产业母基金、两江投资集团、两江产业集团均为重庆市属或区属国资平台，其持有的龙盛新能源原本为非上市资产，通过本次交易转换为赛力斯流通股份，未来可在二级市场退出，符合国资改革向管资本转型的方向。</w:t>
      </w:r>
    </w:p>
    <w:p>
      <w:pPr>
        <w:spacing w:before="0" w:after="0" w:line="240" w:lineRule="auto" w:beforeLines="0" w:afterLines="0"/>
        <w:jc w:val="both"/>
        <w:ind w:firstLineChars="200"/>
      </w:pPr>
      <w:r>
        <w:rPr>
          <w:rFonts w:ascii="Times New Roman" w:hAnsi="Times New Roman" w:eastAsia="仿宋" w:cs="Times New Roman"/>
          <w:b w:val="0"/>
          <w:sz w:val="28"/>
        </w:rPr>
        <w:t>交易完成后，三家国资股东合计持有上市公司股份不超过5%，既不构成控制或重大影响，又保留了产业资本方的治理参与空间。由于交易不构成关联交易，赛力斯无需将交易对方视为关联方进行利益回避，但国资股东进入后，上市公司治理需适应国有股东在重大决策中的合规性要求。资产基础法评估由独立评估机构出具，并经国资备案审核，为交易价格提供了客观基准；新增股份需办理登记、上市手续，后续股份流通时间表尚待观察。</w:t>
      </w:r>
    </w:p>
    <w:p>
      <w:pPr>
        <w:spacing w:before="0" w:after="0" w:line="240" w:lineRule="auto" w:beforeLines="0" w:afterLines="0"/>
        <w:jc w:val="left"/>
        <w:ind w:firstLineChars="200"/>
      </w:pPr>
      <w:r>
        <w:rPr>
          <w:rFonts w:ascii="Times New Roman" w:hAnsi="Times New Roman" w:eastAsia="仿宋" w:cs="Times New Roman"/>
          <w:b/>
          <w:sz w:val="28"/>
        </w:rPr>
        <w:t>五、交割承接与后续整合要点</w:t>
      </w:r>
    </w:p>
    <w:p>
      <w:pPr>
        <w:spacing w:before="0" w:after="0" w:line="240" w:lineRule="auto" w:beforeLines="0" w:afterLines="0"/>
        <w:jc w:val="both"/>
        <w:ind w:firstLineChars="200"/>
      </w:pPr>
      <w:r>
        <w:rPr>
          <w:rFonts w:ascii="Times New Roman" w:hAnsi="Times New Roman" w:eastAsia="仿宋" w:cs="Times New Roman"/>
          <w:b w:val="0"/>
          <w:sz w:val="28"/>
        </w:rPr>
        <w:t>2025年3月标的资产过户完成，龙盛新能源成为赛力斯全资子公司，其资产负债将并表。后续事项包括向交易对方发行股份以支付对价，并办理新增股份登记与上市手续。资产过户标志着控制权转移，但股份支付尚未完全完成，交易闭环还需时日。</w:t>
      </w:r>
    </w:p>
    <w:p>
      <w:pPr>
        <w:spacing w:before="0" w:after="0" w:line="240" w:lineRule="auto" w:beforeLines="0" w:afterLines="0"/>
        <w:jc w:val="both"/>
        <w:ind w:firstLineChars="200"/>
      </w:pPr>
      <w:r>
        <w:rPr>
          <w:rFonts w:ascii="Times New Roman" w:hAnsi="Times New Roman" w:eastAsia="仿宋" w:cs="Times New Roman"/>
          <w:b w:val="0"/>
          <w:sz w:val="28"/>
        </w:rPr>
        <w:t>龙盛新能源主营业务为提供新能源汽车工厂，并入上市公司后，赛力斯需将现有制造体系与标的资产对接，包括重新签订或继承原有租赁协议、统一设备维护与生产排期等。公开资料未披露标的公司的具体客户或产能规模，协同效应程度需结合后续整合观察。财务层面，标的公司并表后资产和负债同步增加，资产负债率可能上升；若存在大额银行借款或应付工程款，上市公司需做好现金流规划。同时，发行股份支付对价将稀释现有股东权益，但由于交易对方持股均低于5%，稀释程度有限。整体看，股份支付避免了即时现金压力，但承担的存量负债和后续整合资本开支需纳入中长期财务模型。</w:t>
      </w:r>
    </w:p>
    <w:p>
      <w:pPr>
        <w:spacing w:before="0" w:after="0" w:line="240" w:lineRule="auto" w:beforeLines="0" w:afterLines="0"/>
        <w:jc w:val="left"/>
        <w:ind w:firstLineChars="200"/>
      </w:pPr>
      <w:r>
        <w:rPr>
          <w:rFonts w:ascii="Times New Roman" w:hAnsi="Times New Roman" w:eastAsia="仿宋" w:cs="Times New Roman"/>
          <w:b/>
          <w:sz w:val="28"/>
        </w:rPr>
        <w:t>六、结语：股权比例与治理安排的核验方法</w:t>
      </w:r>
    </w:p>
    <w:p>
      <w:pPr>
        <w:spacing w:before="0" w:after="0" w:line="240" w:lineRule="auto" w:beforeLines="0" w:afterLines="0"/>
        <w:jc w:val="both"/>
        <w:ind w:firstLineChars="200"/>
      </w:pPr>
      <w:r>
        <w:rPr>
          <w:rFonts w:ascii="Times New Roman" w:hAnsi="Times New Roman" w:eastAsia="仿宋" w:cs="Times New Roman"/>
          <w:b w:val="0"/>
          <w:sz w:val="28"/>
        </w:rPr>
        <w:t>赛力斯以816,395.20万元发行股份收购龙盛新能源100%股权，将</w:t>
      </w:r>
      <w:r>
        <w:rPr>
          <w:rFonts w:ascii="Times New Roman" w:hAnsi="Times New Roman" w:eastAsia="Times New Roman" w:cs="Times New Roman"/>
          <w:b w:val="0"/>
          <w:sz w:val="28"/>
        </w:rPr>
        <w:t>“</w:t>
      </w:r>
      <w:r>
        <w:rPr>
          <w:rFonts w:ascii="Times New Roman" w:hAnsi="Times New Roman" w:eastAsia="仿宋" w:cs="Times New Roman"/>
          <w:b w:val="0"/>
          <w:sz w:val="28"/>
        </w:rPr>
        <w:t>提供新能源汽车工厂</w:t>
      </w:r>
      <w:r>
        <w:rPr>
          <w:rFonts w:ascii="Times New Roman" w:hAnsi="Times New Roman" w:eastAsia="Times New Roman" w:cs="Times New Roman"/>
          <w:b w:val="0"/>
          <w:sz w:val="28"/>
        </w:rPr>
        <w:t>”</w:t>
      </w:r>
      <w:r>
        <w:rPr>
          <w:rFonts w:ascii="Times New Roman" w:hAnsi="Times New Roman" w:eastAsia="仿宋" w:cs="Times New Roman"/>
          <w:b w:val="0"/>
          <w:sz w:val="28"/>
        </w:rPr>
        <w:t>的国资资产完整装入上市平台，交易于2025年3月完成过户。产业端，赛力斯获得产能载体并向上游电池配套延伸；资本端，三家国资股东持股均不超过5%，实现资产证券化且未改变上市公司控制权。</w:t>
      </w:r>
    </w:p>
    <w:p>
      <w:pPr>
        <w:spacing w:before="0" w:after="0" w:line="240" w:lineRule="auto" w:beforeLines="0" w:afterLines="0"/>
        <w:jc w:val="both"/>
        <w:ind w:firstLineChars="200"/>
      </w:pPr>
      <w:r>
        <w:rPr>
          <w:rFonts w:ascii="Times New Roman" w:hAnsi="Times New Roman" w:eastAsia="仿宋" w:cs="Times New Roman"/>
          <w:b w:val="0"/>
          <w:sz w:val="28"/>
        </w:rPr>
        <w:t>本案对依托上市平台持续整合同类资产的启示有三：第一，标的为基础设施型资产时，评估方法应锚定资产重置价值而非未来收益，资产基础法配合无业绩补偿承诺具有内在一致性；第二，交易对方为国资主体时，股份支付可同时解决对价支付与资产证券化双重目标，但交易前必须清晰验证非关联关系，并将交易完成后国资股东持股控制在5%以下以维系治理边界；第三，资产过户不等同于交易完结，新增股份登记上市、债务承接和产线整合仍是衡量交易实际完成度的关键节点。赛力斯与龙盛新能源的后续整合成效，将验证</w:t>
      </w:r>
      <w:r>
        <w:rPr>
          <w:rFonts w:ascii="Times New Roman" w:hAnsi="Times New Roman" w:eastAsia="Times New Roman" w:cs="Times New Roman"/>
          <w:b w:val="0"/>
          <w:sz w:val="28"/>
        </w:rPr>
        <w:t>“</w:t>
      </w:r>
      <w:r>
        <w:rPr>
          <w:rFonts w:ascii="Times New Roman" w:hAnsi="Times New Roman" w:eastAsia="仿宋" w:cs="Times New Roman"/>
          <w:b w:val="0"/>
          <w:sz w:val="28"/>
        </w:rPr>
        <w:t>资产进表、股份定价、协同为本</w:t>
      </w:r>
      <w:r>
        <w:rPr>
          <w:rFonts w:ascii="Times New Roman" w:hAnsi="Times New Roman" w:eastAsia="Times New Roman" w:cs="Times New Roman"/>
          <w:b w:val="0"/>
          <w:sz w:val="28"/>
        </w:rPr>
        <w:t>”</w:t>
      </w:r>
      <w:r>
        <w:rPr>
          <w:rFonts w:ascii="Times New Roman" w:hAnsi="Times New Roman" w:eastAsia="仿宋" w:cs="Times New Roman"/>
          <w:b w:val="0"/>
          <w:sz w:val="28"/>
        </w:rPr>
        <w:t>框架在重资产产业链并购中的可复制性。</w:t>
      </w:r>
    </w:p>
    <w:p>
      <w:pPr>
        <w:spacing w:before="0" w:after="0" w:line="240" w:lineRule="auto" w:beforeLines="0" w:afterLines="0"/>
        <w:jc w:val="both"/>
        <w:ind w:firstLineChars="200"/>
      </w:pPr>
      <w:r>
        <w:rPr>
          <w:rFonts w:ascii="Times New Roman" w:hAnsi="Times New Roman" w:eastAsia="仿宋" w:cs="Times New Roman"/>
          <w:b w:val="0"/>
          <w:sz w:val="28"/>
        </w:rPr>
        <w:t>回到赛力斯集团与重庆两江新区龙盛新能，本案的方法论意义不在于把交易结果写成通用并购总结，而在于把816,395.20万元、交易金额/估值：816,395.20万元；评估方法：资产基础法；评估基准日：2024年6月30日；交易对方：重庆产业母基金、两江投资集团、两江产业集团，合计持有龙盛新能源100%股权、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赛力斯集团而言，关键是交割承接和整合节奏能否与已披露安排匹配；对重庆两江新区龙盛新能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