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交大菡源创投收购联合水务6%股份：要约与控制权安排</w:t>
      </w:r>
    </w:p>
    <w:p>
      <w:pPr>
        <w:spacing w:before="0" w:after="0" w:line="240" w:lineRule="auto" w:beforeLines="0" w:afterLines="0"/>
        <w:jc w:val="both"/>
        <w:ind w:firstLineChars="200"/>
      </w:pPr>
      <w:r>
        <w:rPr>
          <w:rFonts w:ascii="Times New Roman" w:hAnsi="Times New Roman" w:eastAsia="仿宋" w:cs="Times New Roman"/>
          <w:b w:val="0"/>
          <w:sz w:val="28"/>
        </w:rPr>
        <w:t>本案例涉及交大菡源创投（下称</w:t>
      </w:r>
      <w:r>
        <w:rPr>
          <w:rFonts w:ascii="Times New Roman" w:hAnsi="Times New Roman" w:eastAsia="Times New Roman" w:cs="Times New Roman"/>
          <w:b w:val="0"/>
          <w:sz w:val="28"/>
        </w:rPr>
        <w:t>“</w:t>
      </w:r>
      <w:r>
        <w:rPr>
          <w:rFonts w:ascii="Times New Roman" w:hAnsi="Times New Roman" w:eastAsia="仿宋" w:cs="Times New Roman"/>
          <w:b w:val="0"/>
          <w:sz w:val="28"/>
        </w:rPr>
        <w:t>交大菡源创投</w:t>
      </w:r>
      <w:r>
        <w:rPr>
          <w:rFonts w:ascii="Times New Roman" w:hAnsi="Times New Roman" w:eastAsia="Times New Roman" w:cs="Times New Roman"/>
          <w:b w:val="0"/>
          <w:sz w:val="28"/>
        </w:rPr>
        <w:t>”</w:t>
      </w:r>
      <w:r>
        <w:rPr>
          <w:rFonts w:ascii="Times New Roman" w:hAnsi="Times New Roman" w:eastAsia="仿宋" w:cs="Times New Roman"/>
          <w:b w:val="0"/>
          <w:sz w:val="28"/>
        </w:rPr>
        <w:t>）收购联合水务6%股份（下称</w:t>
      </w:r>
      <w:r>
        <w:rPr>
          <w:rFonts w:ascii="Times New Roman" w:hAnsi="Times New Roman" w:eastAsia="Times New Roman" w:cs="Times New Roman"/>
          <w:b w:val="0"/>
          <w:sz w:val="28"/>
        </w:rPr>
        <w:t>“</w:t>
      </w:r>
      <w:r>
        <w:rPr>
          <w:rFonts w:ascii="Times New Roman" w:hAnsi="Times New Roman" w:eastAsia="仿宋" w:cs="Times New Roman"/>
          <w:b w:val="0"/>
          <w:sz w:val="28"/>
        </w:rPr>
        <w:t>联合水务6%股份</w:t>
      </w:r>
      <w:r>
        <w:rPr>
          <w:rFonts w:ascii="Times New Roman" w:hAnsi="Times New Roman" w:eastAsia="Times New Roman" w:cs="Times New Roman"/>
          <w:b w:val="0"/>
          <w:sz w:val="28"/>
        </w:rPr>
        <w:t>”</w:t>
      </w:r>
      <w:r>
        <w:rPr>
          <w:rFonts w:ascii="Times New Roman" w:hAnsi="Times New Roman" w:eastAsia="仿宋" w:cs="Times New Roman"/>
          <w:b w:val="0"/>
          <w:sz w:val="28"/>
        </w:rPr>
        <w:t>）的交易安排。交易前，本案例先从股权结构、控制权状态、业务状态和产业位置理解双方处境；交易的触发路径来自公告或监管披露《关于公司控股股东协议转让部分股份过户完成的公告》，目标线索为证券代码：603291证券简称：联合水务公告编号：2026-036江苏联合水务科技股份有限公司关于公司控股股东协议转让部分股份过户完成的公告本公司董事会、全体董事及相关股东保证本公告内容不存在任何虚假记载、 误导性陈述或者重大遗漏，并对其内容的真实性、准确性和完整性承担法律责任。；重要内容提示：  江苏联合水务科技股份有限公司（下称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公司</w:t>
      </w:r>
      <w:r>
        <w:rPr>
          <w:rFonts w:ascii="Times New Roman" w:hAnsi="Times New Roman" w:eastAsia="Times New Roman" w:cs="Times New Roman"/>
          <w:b w:val="0"/>
          <w:sz w:val="28"/>
        </w:rPr>
        <w:t>”</w:t>
      </w:r>
      <w:r>
        <w:rPr>
          <w:rFonts w:ascii="Times New Roman" w:hAnsi="Times New Roman" w:eastAsia="仿宋" w:cs="Times New Roman"/>
          <w:b w:val="0"/>
          <w:sz w:val="28"/>
        </w:rPr>
        <w:t>）控股股东联。在公开信息有限的上市公司少数股权转让中，交易条款往往比战略叙事更能揭示双方利益的真实边界。</w:t>
      </w:r>
    </w:p>
    <w:p>
      <w:pPr>
        <w:spacing w:before="0" w:after="0" w:line="240" w:lineRule="auto" w:beforeLines="0" w:afterLines="0"/>
        <w:jc w:val="left"/>
        <w:ind w:firstLineChars="200"/>
      </w:pPr>
      <w:r>
        <w:rPr>
          <w:rFonts w:ascii="Times New Roman" w:hAnsi="Times New Roman" w:eastAsia="仿宋" w:cs="Times New Roman"/>
          <w:b/>
          <w:sz w:val="28"/>
        </w:rPr>
        <w:t>一、交易前控股股东持股结构与触发路径：减持6%的客观基础</w:t>
      </w:r>
    </w:p>
    <w:p>
      <w:pPr>
        <w:spacing w:before="0" w:after="0" w:line="240" w:lineRule="auto" w:beforeLines="0" w:afterLines="0"/>
        <w:jc w:val="both"/>
        <w:ind w:firstLineChars="200"/>
      </w:pPr>
      <w:r>
        <w:rPr>
          <w:rFonts w:ascii="Times New Roman" w:hAnsi="Times New Roman" w:eastAsia="仿宋" w:cs="Times New Roman"/>
          <w:b w:val="0"/>
          <w:sz w:val="28"/>
        </w:rPr>
        <w:t>事实披露边界上，本案可引用的交易对价、估值或支付口径为协议转让25,393,236股，占总股本6.00%；每股10.36元；交易总金额（含税）263,073,924.96元；另列示0.20元及257,995,277.76元（可能涉及除息调整，具体以协议约定为准）；披露的每股价格为10.36元/股；时间线包括2026-05-21：联合水务亚洲与交大菡源创投签署。</w:t>
      </w:r>
    </w:p>
    <w:p>
      <w:pPr>
        <w:spacing w:before="0" w:after="0" w:line="240" w:lineRule="auto" w:beforeLines="0" w:afterLines="0"/>
        <w:jc w:val="both"/>
        <w:ind w:firstLineChars="200"/>
      </w:pPr>
      <w:r>
        <w:rPr>
          <w:rFonts w:ascii="Times New Roman" w:hAnsi="Times New Roman" w:eastAsia="仿宋" w:cs="Times New Roman"/>
          <w:b w:val="0"/>
          <w:sz w:val="28"/>
        </w:rPr>
        <w:t>联合水务系上海证券交易所上市公司，证券代码603291，公司名称中</w:t>
      </w:r>
      <w:r>
        <w:rPr>
          <w:rFonts w:ascii="Times New Roman" w:hAnsi="Times New Roman" w:eastAsia="Times New Roman" w:cs="Times New Roman"/>
          <w:b w:val="0"/>
          <w:sz w:val="28"/>
        </w:rPr>
        <w:t>“</w:t>
      </w:r>
      <w:r>
        <w:rPr>
          <w:rFonts w:ascii="Times New Roman" w:hAnsi="Times New Roman" w:eastAsia="仿宋" w:cs="Times New Roman"/>
          <w:b w:val="0"/>
          <w:sz w:val="28"/>
        </w:rPr>
        <w:t>水务</w:t>
      </w:r>
      <w:r>
        <w:rPr>
          <w:rFonts w:ascii="Times New Roman" w:hAnsi="Times New Roman" w:eastAsia="Times New Roman" w:cs="Times New Roman"/>
          <w:b w:val="0"/>
          <w:sz w:val="28"/>
        </w:rPr>
        <w:t>”</w:t>
      </w:r>
      <w:r>
        <w:rPr>
          <w:rFonts w:ascii="Times New Roman" w:hAnsi="Times New Roman" w:eastAsia="仿宋" w:cs="Times New Roman"/>
          <w:b w:val="0"/>
          <w:sz w:val="28"/>
        </w:rPr>
        <w:t>表明其主业可能涉及水务领域，但公告未披露具体业务构成和财务数据。本次交易前，控股股东联合水务（亚洲）有限公司（下称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联合水务亚洲</w:t>
      </w:r>
      <w:r>
        <w:rPr>
          <w:rFonts w:ascii="Times New Roman" w:hAnsi="Times New Roman" w:eastAsia="Times New Roman" w:cs="Times New Roman"/>
          <w:b w:val="0"/>
          <w:sz w:val="28"/>
        </w:rPr>
        <w:t>”</w:t>
      </w:r>
      <w:r>
        <w:rPr>
          <w:rFonts w:ascii="Times New Roman" w:hAnsi="Times New Roman" w:eastAsia="仿宋" w:cs="Times New Roman"/>
          <w:b w:val="0"/>
          <w:sz w:val="28"/>
        </w:rPr>
        <w:t>）持有282,680,929股，约占总股本66.75%，处于绝对控股地位。2026年5月21日，联合水务亚洲与上海交大菡源创业投资合伙企业（有限合伙）（下称。</w:t>
      </w:r>
    </w:p>
    <w:p>
      <w:pPr>
        <w:spacing w:before="0" w:after="0" w:line="240" w:lineRule="auto" w:beforeLines="0" w:afterLines="0"/>
        <w:jc w:val="both"/>
        <w:ind w:firstLineChars="200"/>
      </w:pPr>
      <w:r>
        <w:rPr>
          <w:rFonts w:ascii="Times New Roman" w:hAnsi="Times New Roman" w:eastAsia="仿宋" w:cs="Times New Roman"/>
          <w:b w:val="0"/>
          <w:sz w:val="28"/>
        </w:rPr>
        <w:t>从发起机制看，本次转让属于控股股东作为股份持有人的自主处分行为，无需上市公司股东大会审议，但须通过上海证券交易所的合规性确认，并完成证券过户登记。公告未披露交易由哪一方主动发起、是否经过中介撮合或询价程序，也未说明控股股东转让股份的具体原因。在缺乏主观动机披露的情况下，只能从条款和结构反推客观机制：联合水务亚洲通过转让6%股份获得现金对价，同时保留60%以上。</w:t>
      </w:r>
    </w:p>
    <w:p>
      <w:pPr>
        <w:spacing w:before="0" w:after="0" w:line="240" w:lineRule="auto" w:beforeLines="0" w:afterLines="0"/>
        <w:jc w:val="left"/>
        <w:ind w:firstLineChars="200"/>
      </w:pPr>
      <w:r>
        <w:rPr>
          <w:rFonts w:ascii="Times New Roman" w:hAnsi="Times New Roman" w:eastAsia="仿宋" w:cs="Times New Roman"/>
          <w:b/>
          <w:sz w:val="28"/>
        </w:rPr>
        <w:t>二、协议转让条款拆解：除息调整与锁定承诺如何决定对价</w:t>
      </w:r>
    </w:p>
    <w:p>
      <w:pPr>
        <w:spacing w:before="0" w:after="0" w:line="240" w:lineRule="auto" w:beforeLines="0" w:afterLines="0"/>
        <w:jc w:val="both"/>
        <w:ind w:firstLineChars="200"/>
      </w:pPr>
      <w:r>
        <w:rPr>
          <w:rFonts w:ascii="Times New Roman" w:hAnsi="Times New Roman" w:eastAsia="仿宋" w:cs="Times New Roman"/>
          <w:b w:val="0"/>
          <w:sz w:val="28"/>
        </w:rPr>
        <w:t>本次协议转让的核心条款集中在每股价格、除息调整和锁定承诺三个方面。协议约定每股转让价格为10.36元，转让股份数量为25,393,236股，由此计算交易总金额（含税）为263,073,924.96元。然而，公告同时列示了0.20元及257,995,277.76元两个数字，这源于《股份转让协议》第2.3条：</w:t>
      </w:r>
      <w:r>
        <w:rPr>
          <w:rFonts w:ascii="Times New Roman" w:hAnsi="Times New Roman" w:eastAsia="Times New Roman" w:cs="Times New Roman"/>
          <w:b w:val="0"/>
          <w:sz w:val="28"/>
        </w:rPr>
        <w:t>“</w:t>
      </w:r>
      <w:r>
        <w:rPr>
          <w:rFonts w:ascii="Times New Roman" w:hAnsi="Times New Roman" w:eastAsia="仿宋" w:cs="Times New Roman"/>
          <w:b w:val="0"/>
          <w:sz w:val="28"/>
        </w:rPr>
        <w:t>自本协议签署日起至标的股份交割日期间，标的公司发生送。</w:t>
      </w:r>
    </w:p>
    <w:p>
      <w:pPr>
        <w:spacing w:before="0" w:after="0" w:line="240" w:lineRule="auto" w:beforeLines="0" w:afterLines="0"/>
        <w:jc w:val="both"/>
        <w:ind w:firstLineChars="200"/>
      </w:pPr>
      <w:r>
        <w:rPr>
          <w:rFonts w:ascii="Times New Roman" w:hAnsi="Times New Roman" w:eastAsia="仿宋" w:cs="Times New Roman"/>
          <w:b w:val="0"/>
          <w:sz w:val="28"/>
        </w:rPr>
        <w:t>锁定承诺方面，交大菡源创投承诺在转让完成后的12个月内不减持本次交易所受让的公司股份。这一承诺具有双重含义：一是向市场传递受让方短期不会抛售的信号，有助于稳定公司股价；二是可能作为交易谈判中对价的一部分，换取卖方在价格或条款上的让步。对于PE而言，12个月锁定并非苛刻限制，但体现了其阶段性持股的定位。值得注意的是，公告未披露是否存在业绩承诺、估值调整、回购义。</w:t>
      </w:r>
    </w:p>
    <w:p>
      <w:pPr>
        <w:spacing w:before="0" w:after="0" w:line="240" w:lineRule="auto" w:beforeLines="0" w:afterLines="0"/>
        <w:jc w:val="left"/>
        <w:ind w:firstLineChars="200"/>
      </w:pPr>
      <w:r>
        <w:rPr>
          <w:rFonts w:ascii="Times New Roman" w:hAnsi="Times New Roman" w:eastAsia="仿宋" w:cs="Times New Roman"/>
          <w:b/>
          <w:sz w:val="28"/>
        </w:rPr>
        <w:t>三、控制权稳定与合规确认：少量股权转让的路径选择</w:t>
      </w:r>
    </w:p>
    <w:p>
      <w:pPr>
        <w:spacing w:before="0" w:after="0" w:line="240" w:lineRule="auto" w:beforeLines="0" w:afterLines="0"/>
        <w:jc w:val="both"/>
        <w:ind w:firstLineChars="200"/>
      </w:pPr>
      <w:r>
        <w:rPr>
          <w:rFonts w:ascii="Times New Roman" w:hAnsi="Times New Roman" w:eastAsia="仿宋" w:cs="Times New Roman"/>
          <w:b w:val="0"/>
          <w:sz w:val="28"/>
        </w:rPr>
        <w:t>本次转让最显著的合规特征是</w:t>
      </w:r>
      <w:r>
        <w:rPr>
          <w:rFonts w:ascii="Times New Roman" w:hAnsi="Times New Roman" w:eastAsia="Times New Roman" w:cs="Times New Roman"/>
          <w:b w:val="0"/>
          <w:sz w:val="28"/>
        </w:rPr>
        <w:t>“</w:t>
      </w:r>
      <w:r>
        <w:rPr>
          <w:rFonts w:ascii="Times New Roman" w:hAnsi="Times New Roman" w:eastAsia="仿宋" w:cs="Times New Roman"/>
          <w:b w:val="0"/>
          <w:sz w:val="28"/>
        </w:rPr>
        <w:t>不涉及要约收购</w:t>
      </w:r>
      <w:r>
        <w:rPr>
          <w:rFonts w:ascii="Times New Roman" w:hAnsi="Times New Roman" w:eastAsia="Times New Roman" w:cs="Times New Roman"/>
          <w:b w:val="0"/>
          <w:sz w:val="28"/>
        </w:rPr>
        <w:t>”</w:t>
      </w:r>
      <w:r>
        <w:rPr>
          <w:rFonts w:ascii="Times New Roman" w:hAnsi="Times New Roman" w:eastAsia="仿宋" w:cs="Times New Roman"/>
          <w:b w:val="0"/>
          <w:sz w:val="28"/>
        </w:rPr>
        <w:t>。根据《上市公司收购管理办法》，收购人通过协议方式取得上市公司股份达到已发行股份的30%时，继续增持的，应当采取要约方式；或者收购人取得控制权时，也可能触发要约义务。本案中，转让前联合水务亚洲持股约66.75%，转让后降至约60.75%，仍为控股股东，实际控制人未发生变化；交大菡源创投仅取得6%股份，远未达到30%。</w:t>
      </w:r>
    </w:p>
    <w:p>
      <w:pPr>
        <w:spacing w:before="0" w:after="0" w:line="240" w:lineRule="auto" w:beforeLines="0" w:afterLines="0"/>
        <w:jc w:val="both"/>
        <w:ind w:firstLineChars="200"/>
      </w:pPr>
      <w:r>
        <w:rPr>
          <w:rFonts w:ascii="Times New Roman" w:hAnsi="Times New Roman" w:eastAsia="仿宋" w:cs="Times New Roman"/>
          <w:b w:val="0"/>
          <w:sz w:val="28"/>
        </w:rPr>
        <w:t>从监管逻辑看，协议转让不涉及要约收购通常要求以下条件：转让不导致控制权变更；受让方及其一致行动人合计持股不超过30%；转让股份为无限售流通股等。本案同时满足这些条件，因此能够在较短时间内完成从签约到过户的流程。此外，联合水务亚洲作为控股股东，其减持行为还需遵守《上海证券交易所上市公司自律监管指引第15号——股东及董事、高级管理人员减持股份》的相关规定。公告明。</w:t>
      </w:r>
    </w:p>
    <w:p>
      <w:pPr>
        <w:spacing w:before="0" w:after="0" w:line="240" w:lineRule="auto" w:beforeLines="0" w:afterLines="0"/>
        <w:jc w:val="left"/>
        <w:ind w:firstLineChars="200"/>
      </w:pPr>
      <w:r>
        <w:rPr>
          <w:rFonts w:ascii="Times New Roman" w:hAnsi="Times New Roman" w:eastAsia="仿宋" w:cs="Times New Roman"/>
          <w:b/>
          <w:sz w:val="28"/>
        </w:rPr>
        <w:t>四、财务影响与隐含估值：从对价和比例解读公司规模</w:t>
      </w:r>
    </w:p>
    <w:p>
      <w:pPr>
        <w:spacing w:before="0" w:after="0" w:line="240" w:lineRule="auto" w:beforeLines="0" w:afterLines="0"/>
        <w:jc w:val="both"/>
        <w:ind w:firstLineChars="200"/>
      </w:pPr>
      <w:r>
        <w:rPr>
          <w:rFonts w:ascii="Times New Roman" w:hAnsi="Times New Roman" w:eastAsia="仿宋" w:cs="Times New Roman"/>
          <w:b w:val="0"/>
          <w:sz w:val="28"/>
        </w:rPr>
        <w:t>公告未披露联合水务的营业收入、净利润、现金流等财务指标，因此无法直接进行传统财务分析。但交易对价与股权比例本身提供了隐含估值线索：按协议初始总价263,073,924.96元对应6%股权计算，公司总市值约为43.85亿元；按除息调整后实际对价257,995,277.76元计算，隐含市值约为43.00亿元。该差异虽小，但反映出除息调整对股权价值的直接影响。结合。</w:t>
      </w:r>
    </w:p>
    <w:p>
      <w:pPr>
        <w:spacing w:before="0" w:after="0" w:line="240" w:lineRule="auto" w:beforeLines="0" w:afterLines="0"/>
        <w:jc w:val="both"/>
        <w:ind w:firstLineChars="200"/>
      </w:pPr>
      <w:r>
        <w:rPr>
          <w:rFonts w:ascii="Times New Roman" w:hAnsi="Times New Roman" w:eastAsia="仿宋" w:cs="Times New Roman"/>
          <w:b w:val="0"/>
          <w:sz w:val="28"/>
        </w:rPr>
        <w:t>对于PE而言，任何微小的价格调整都可能在长期持有中形成累计收益差异，因此严谨的对价调整机制是少数股权交易中不可忽视的环节。交大菡源创投以约2.58亿元取得6%无限售流通股，若按隐含市值43亿元计算，市盈率等指标无法推算，但该投资规模与一般PE单笔项目投资额相当，显示其作为财务投资者的资金体量匹配。上市公司层面无直接资金流入，交易对价在控股股东与受让方之间结算。</w:t>
      </w:r>
    </w:p>
    <w:p>
      <w:pPr>
        <w:spacing w:before="0" w:after="0" w:line="240" w:lineRule="auto" w:beforeLines="0" w:afterLines="0"/>
        <w:jc w:val="left"/>
        <w:ind w:firstLineChars="200"/>
      </w:pPr>
      <w:r>
        <w:rPr>
          <w:rFonts w:ascii="Times New Roman" w:hAnsi="Times New Roman" w:eastAsia="仿宋" w:cs="Times New Roman"/>
          <w:b/>
          <w:sz w:val="28"/>
        </w:rPr>
        <w:t>五、产业判断与并购方法论：从条款还原PE参与水务上市公司的逻辑</w:t>
      </w:r>
    </w:p>
    <w:p>
      <w:pPr>
        <w:spacing w:before="0" w:after="0" w:line="240" w:lineRule="auto" w:beforeLines="0" w:afterLines="0"/>
        <w:jc w:val="both"/>
        <w:ind w:firstLineChars="200"/>
      </w:pPr>
      <w:r>
        <w:rPr>
          <w:rFonts w:ascii="Times New Roman" w:hAnsi="Times New Roman" w:eastAsia="仿宋" w:cs="Times New Roman"/>
          <w:b w:val="0"/>
          <w:sz w:val="28"/>
        </w:rPr>
        <w:t>基于公司名称中</w:t>
      </w:r>
      <w:r>
        <w:rPr>
          <w:rFonts w:ascii="Times New Roman" w:hAnsi="Times New Roman" w:eastAsia="Times New Roman" w:cs="Times New Roman"/>
          <w:b w:val="0"/>
          <w:sz w:val="28"/>
        </w:rPr>
        <w:t>“</w:t>
      </w:r>
      <w:r>
        <w:rPr>
          <w:rFonts w:ascii="Times New Roman" w:hAnsi="Times New Roman" w:eastAsia="仿宋" w:cs="Times New Roman"/>
          <w:b w:val="0"/>
          <w:sz w:val="28"/>
        </w:rPr>
        <w:t>水务</w:t>
      </w:r>
      <w:r>
        <w:rPr>
          <w:rFonts w:ascii="Times New Roman" w:hAnsi="Times New Roman" w:eastAsia="Times New Roman" w:cs="Times New Roman"/>
          <w:b w:val="0"/>
          <w:sz w:val="28"/>
        </w:rPr>
        <w:t>”</w:t>
      </w:r>
      <w:r>
        <w:rPr>
          <w:rFonts w:ascii="Times New Roman" w:hAnsi="Times New Roman" w:eastAsia="仿宋" w:cs="Times New Roman"/>
          <w:b w:val="0"/>
          <w:sz w:val="28"/>
        </w:rPr>
        <w:t>二字可合理推断，联合水务所处行业具有公用事业属性，现金流相对稳定，定价受政府指导或特许经营约束，具备防御性配置特征。PE在缺乏高增长科技标的时，可能偏好此类现金流可预期的资产。但该判断为行业一般性推理，不构成本案事实，公告未披露联合水务具体业务分部和经营数据，也未说明交大菡源创投的投资逻辑。因此，分析必须严格限定在已披露条款范围内，避免用想象填补证据空白。</w:t>
      </w:r>
    </w:p>
    <w:p>
      <w:pPr>
        <w:spacing w:before="0" w:after="0" w:line="240" w:lineRule="auto" w:beforeLines="0" w:afterLines="0"/>
        <w:jc w:val="both"/>
        <w:ind w:firstLineChars="200"/>
      </w:pPr>
      <w:r>
        <w:rPr>
          <w:rFonts w:ascii="Times New Roman" w:hAnsi="Times New Roman" w:eastAsia="仿宋" w:cs="Times New Roman"/>
          <w:b w:val="0"/>
          <w:sz w:val="28"/>
        </w:rPr>
        <w:t>从交易结构看，本案展示了PE以少数股权受让方式参与上市公司时，如何在既有控制权框架下通过条款设计实现交易闭环。6%的持股比例不构成控制，受让方未要求董事会席位，也未安排业绩承诺或对赌条款（公告未披露），仅承诺12个月不减持。这些特征与典型财务投资的逻辑相符：以较低比例介入上市公司，锁定流动性并要求期限承诺，通过分享公司成长和估值修复获取收益。三个关键条款支撑了这一结。</w:t>
      </w:r>
    </w:p>
    <w:p>
      <w:pPr>
        <w:spacing w:before="0" w:after="0" w:line="240" w:lineRule="auto" w:beforeLines="0" w:afterLines="0"/>
        <w:jc w:val="both"/>
        <w:ind w:firstLineChars="200"/>
      </w:pPr>
      <w:r>
        <w:rPr>
          <w:rFonts w:ascii="Times New Roman" w:hAnsi="Times New Roman" w:eastAsia="仿宋" w:cs="Times New Roman"/>
          <w:b w:val="0"/>
          <w:sz w:val="28"/>
        </w:rPr>
        <w:t>从并购方法论角度，本案例的启示在于：当主观动机不明时，交易条款是还原交易逻辑的最可靠材料。除息调整条款的精确表述、锁定承诺的期限、合规确认的程序，都构成了可验证的客观证据。同类交易中，PE若计划通过协议转让取得上市公司少数股权，应重点关注除权除息窗口对实际对价的影响，提前在协议中明确调整机制；设定合理的锁定期以换取卖方或监管层面的支持；并充分利用协议转让不触。</w:t>
      </w:r>
    </w:p>
    <w:p>
      <w:pPr>
        <w:spacing w:before="0" w:after="0" w:line="240" w:lineRule="auto" w:beforeLines="0" w:afterLines="0"/>
        <w:jc w:val="left"/>
        <w:ind w:firstLineChars="200"/>
      </w:pPr>
      <w:r>
        <w:rPr>
          <w:rFonts w:ascii="Times New Roman" w:hAnsi="Times New Roman" w:eastAsia="仿宋" w:cs="Times New Roman"/>
          <w:b/>
          <w:sz w:val="28"/>
        </w:rPr>
        <w:t>六、结语：要约与控制权安排的核验方法</w:t>
      </w:r>
    </w:p>
    <w:p>
      <w:pPr>
        <w:spacing w:before="0" w:after="0" w:line="240" w:lineRule="auto" w:beforeLines="0" w:afterLines="0"/>
        <w:jc w:val="both"/>
        <w:ind w:firstLineChars="200"/>
      </w:pPr>
      <w:r>
        <w:rPr>
          <w:rFonts w:ascii="Times New Roman" w:hAnsi="Times New Roman" w:eastAsia="仿宋" w:cs="Times New Roman"/>
          <w:b w:val="0"/>
          <w:sz w:val="28"/>
        </w:rPr>
        <w:t>联合水务6%股权转让案，最终以交大菡源创投支付约257,995,277.76元实际对价、取得25,393,236股无限售流通股而完成交割，联合水务亚洲在持股比例降至约60.75%后仍保持控股地位。整个过程从签约到过户仅约两个月，未触发要约收购，未改变实际控制人，体现了协议转让在上市公司少数股权交易中的效率优势。对同类交易而言，本案最具方法论意义的启示有三：其一，除息调整条款必须明确界定，避免总对价与单价、数量之间的逻辑矛盾，公告中除息调整金额与协议表述存在表面不一致，但通过数字勾稽可以还原实际对价；其二，锁定承诺虽不复杂，却能在缺乏其他增信措施时有效缓解市场对短期抛压的担忧，是PE与控股股东均可接受的平衡点；其三，合规路径的选择直接决定交易时间表，在控制权不变的前提下，上交所合规确认加中登过户的双重程序足以支撑交易的顺利完成。这些经验为后续PE参与上市公司少数股权交易提供了简洁、可复制的结构参照。</w:t>
      </w:r>
    </w:p>
    <w:p>
      <w:pPr>
        <w:spacing w:before="0" w:after="0" w:line="240" w:lineRule="auto" w:beforeLines="0" w:afterLines="0"/>
        <w:jc w:val="both"/>
        <w:ind w:firstLineChars="200"/>
      </w:pPr>
      <w:r>
        <w:rPr>
          <w:rFonts w:ascii="Times New Roman" w:hAnsi="Times New Roman" w:eastAsia="仿宋" w:cs="Times New Roman"/>
          <w:b w:val="0"/>
          <w:sz w:val="28"/>
        </w:rPr>
        <w:t>同时，本案也提醒从业者，在信息披露有限的情况下，应坚持以交易条款、股权比例、合规程序等硬信息为分析基础，避免用想象填补证据空白。联合水务案中，除息调整的具体金额与协议表述存在表面不一致，但通过数字勾稽可以还原实际对价；锁定承诺虽未说明谈判背景，却可推断其在交易定价中的作用。这种基于条款的审慎分析，正是并购案例研究中应当坚守的边界。对于PE行业而言，类似的结构化参与方式或将在控制权稳定的上市公司中更多出现，其核心在于平衡财务回报诉求与控制权维护之间的张力，而本案提供的条款框架为此类交易提供了清晰的操作参照。</w:t>
      </w:r>
    </w:p>
    <w:p>
      <w:pPr>
        <w:spacing w:before="0" w:after="0" w:line="240" w:lineRule="auto" w:beforeLines="0" w:afterLines="0"/>
        <w:jc w:val="both"/>
        <w:ind w:firstLineChars="200"/>
      </w:pPr>
      <w:r>
        <w:rPr>
          <w:rFonts w:ascii="Times New Roman" w:hAnsi="Times New Roman" w:eastAsia="仿宋" w:cs="Times New Roman"/>
          <w:b w:val="0"/>
          <w:sz w:val="28"/>
        </w:rPr>
        <w:t>回到交大菡源创投与联合水务6%股份，本案的方法论意义不在于把交易结果写成通用并购总结，而在于把协议转让25,393,236股，占总股本6.00%；每股10.36元；交易总金额（含税）263,073,924.96元；另列示0.20元及257,995,277.76元（可能涉及除息调整，具体以协议约定为准）；披露的每股价格为10.36元/股、25,393,236股（占总股本6.00%）；10.36元/股；263,073,924.96元（含税）；0.20元（协议第2.3条涉及的调整金额）、控制权、股权比例、支付方式和交割条件放在同一披露链条中核验。因此，同类并购首先要确认信息披露是否足以支撑估值锚、条款安排、治理边界和交易执行；其次要把产业链位置、客户结构、产能、技术路线、资源禀赋和商业模式放回标的业务承接中判断；最后才评估收入、净利润、现金流、负债、资产、市值、订单、客户和用户等财务影响。对交大菡源创投而言，关键是交割承接和整合节奏能否与已披露安排匹配；对联合水务6%股份而言，关键是控制权或股东接受机制能否在公开资料边界内被持续验证。</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