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分别与富德财产保险收购亚康股份5%股份：协议转让与交割条件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本案例涉及分别与富德财产保险股份有限公司（下称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分别与富德财产保险</w:t>
      </w:r>
      <w:r>
        <w:rPr>
          <w:rFonts w:ascii="Times New Roman" w:hAnsi="Times New Roman" w:eastAsia="Times New Roman" w:cs="Times New Roman"/>
          <w:b w:val="0"/>
          <w:sz w:val="28"/>
        </w:rPr>
        <w:t>”</w:t>
      </w:r>
      <w:r>
        <w:rPr>
          <w:rFonts w:ascii="Times New Roman" w:hAnsi="Times New Roman" w:eastAsia="仿宋" w:cs="Times New Roman"/>
          <w:b w:val="0"/>
          <w:sz w:val="28"/>
        </w:rPr>
        <w:t>）收购亚康股份5%股份（下称</w:t>
      </w:r>
      <w:r>
        <w:rPr>
          <w:rFonts w:ascii="Times New Roman" w:hAnsi="Times New Roman" w:eastAsia="Times New Roman" w:cs="Times New Roman"/>
          <w:b w:val="0"/>
          <w:sz w:val="28"/>
        </w:rPr>
        <w:t>“</w:t>
      </w:r>
      <w:r>
        <w:rPr>
          <w:rFonts w:ascii="Times New Roman" w:hAnsi="Times New Roman" w:eastAsia="仿宋" w:cs="Times New Roman"/>
          <w:b w:val="0"/>
          <w:sz w:val="28"/>
        </w:rPr>
        <w:t>亚康股份5%股份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实际控制人之一致行动人协议转让部分股份过户完成登记的公告》，目标线索为公开资料未单独披露买方动机；根据公告，受让方通过协议转让取得上市公司股份，成为持股5%以上股东，并承诺自交割完成之日起18个月内不以任何方式主动减持本次转让中取得的股份。</w:t>
      </w:r>
    </w:p>
    <w:p>
      <w:pPr>
        <w:spacing w:before="0" w:after="0" w:line="240" w:lineRule="auto" w:beforeLines="0" w:afterLines="0"/>
        <w:jc w:val="left"/>
        <w:ind w:firstLineChars="200"/>
      </w:pPr>
      <w:r>
        <w:rPr>
          <w:rFonts w:ascii="Times New Roman" w:hAnsi="Times New Roman" w:eastAsia="仿宋" w:cs="Times New Roman"/>
          <w:b/>
          <w:sz w:val="28"/>
        </w:rPr>
        <w:t>一、交易前控制权状态与协议转让发起路径</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协议转让；转让价格原为59.64元/股，经补充协议调整为46.53元/股；交易股份合计8,680,000股；具体交易总金额公开资料未披露；时间线包括2026年5月28日：签署《股份转让协议（一）》和《股份转让协议（二）》；2026年7月3日：签署《股份转让协议之补充协议（一）》，原协议项下标的股份最终过户；交易前，亚康股份的实际控制人为徐江，祥远至鸿为其一致行动人。公告未披露祥远至鸿持股总数及转让后剩余持股比例，但明确指出本次协议转让</w:t>
      </w:r>
      <w:r>
        <w:rPr>
          <w:rFonts w:ascii="Times New Roman" w:hAnsi="Times New Roman" w:eastAsia="Times New Roman" w:cs="Times New Roman"/>
          <w:b w:val="0"/>
          <w:sz w:val="28"/>
        </w:rPr>
        <w:t>“</w:t>
      </w:r>
      <w:r>
        <w:rPr>
          <w:rFonts w:ascii="Times New Roman" w:hAnsi="Times New Roman" w:eastAsia="仿宋" w:cs="Times New Roman"/>
          <w:b w:val="0"/>
          <w:sz w:val="28"/>
        </w:rPr>
        <w:t>不会导致公司控股股东、实际控制人发生变化</w:t>
      </w:r>
      <w:r>
        <w:rPr>
          <w:rFonts w:ascii="Times New Roman" w:hAnsi="Times New Roman" w:eastAsia="Times New Roman" w:cs="Times New Roman"/>
          <w:b w:val="0"/>
          <w:sz w:val="28"/>
        </w:rPr>
        <w:t>”</w:t>
      </w:r>
      <w:r>
        <w:rPr>
          <w:rFonts w:ascii="Times New Roman" w:hAnsi="Times New Roman" w:eastAsia="仿宋" w:cs="Times New Roman"/>
          <w:b w:val="0"/>
          <w:sz w:val="28"/>
        </w:rPr>
        <w:t>，说明原控制权结构足够稳固，10%的股份让渡不会动摇控制地位。亚康股份处于信息技术行业，公告未披露其客户结构、技术壁垒或市场份额，也未披露任何财务数据，因此本次股权转让不传递产业整合或业务协同信号，更接近股东层面的资本结构调整。</w:t>
      </w:r>
    </w:p>
    <w:p>
      <w:pPr>
        <w:spacing w:before="0" w:after="0" w:line="240" w:lineRule="auto" w:beforeLines="0" w:afterLines="0"/>
        <w:jc w:val="both"/>
        <w:ind w:firstLineChars="200"/>
      </w:pPr>
      <w:r>
        <w:rPr>
          <w:rFonts w:ascii="Times New Roman" w:hAnsi="Times New Roman" w:eastAsia="仿宋" w:cs="Times New Roman"/>
          <w:b w:val="0"/>
          <w:sz w:val="28"/>
        </w:rPr>
        <w:t>交易由卖方祥远至鸿发起。2026年5月28日，祥远至鸿与富德产险、富德科技分别签署《股份转让协议（一）》和《股份转让协议（二）》，约定向各受让方转让4,340,000股，各占公司总股本5.00%，占剔除回购专户后总股本比例5.04%。交易未采用集中竞价或大宗交易，而是选择协议转让，既避免了二级市场冲击，又能一次性完成较大比例的股权转移。从路径看，祥远至鸿通过。</w:t>
      </w:r>
    </w:p>
    <w:p>
      <w:pPr>
        <w:spacing w:before="0" w:after="0" w:line="240" w:lineRule="auto" w:beforeLines="0" w:afterLines="0"/>
        <w:jc w:val="left"/>
        <w:ind w:firstLineChars="200"/>
      </w:pPr>
      <w:r>
        <w:rPr>
          <w:rFonts w:ascii="Times New Roman" w:hAnsi="Times New Roman" w:eastAsia="仿宋" w:cs="Times New Roman"/>
          <w:b/>
          <w:sz w:val="28"/>
        </w:rPr>
        <w:t>二、从59.64元到46.53元：定价修正背后的交割弹性</w:t>
      </w:r>
    </w:p>
    <w:p>
      <w:pPr>
        <w:spacing w:before="0" w:after="0" w:line="240" w:lineRule="auto" w:beforeLines="0" w:afterLines="0"/>
        <w:jc w:val="both"/>
        <w:ind w:firstLineChars="200"/>
      </w:pPr>
      <w:r>
        <w:rPr>
          <w:rFonts w:ascii="Times New Roman" w:hAnsi="Times New Roman" w:eastAsia="仿宋" w:cs="Times New Roman"/>
          <w:b w:val="0"/>
          <w:sz w:val="28"/>
        </w:rPr>
        <w:t>2026年5月28日签署的《股份转让协议》约定转让价格为59.64元/股。2026年7月21日，双方签署《股份转让协议之补充协议二（一）》和《股份转让协议之补充协议二（二）》，将转让价格调整为46.53元/股，降幅约22.0%。公告未披露调整原因，也未说明定价基准日或计算方式。按调整后价格估算，富德产险、富德科技各自受让4,340,000股的对应金额约为20。</w:t>
      </w:r>
    </w:p>
    <w:p>
      <w:pPr>
        <w:spacing w:before="0" w:after="0" w:line="240" w:lineRule="auto" w:beforeLines="0" w:afterLines="0"/>
        <w:jc w:val="both"/>
        <w:ind w:firstLineChars="200"/>
      </w:pPr>
      <w:r>
        <w:rPr>
          <w:rFonts w:ascii="Times New Roman" w:hAnsi="Times New Roman" w:eastAsia="仿宋" w:cs="Times New Roman"/>
          <w:b w:val="0"/>
          <w:sz w:val="28"/>
        </w:rPr>
        <w:t>价格下调显著降低了受让方的资金成本，而卖方接受降价，可能反映出在协议签署后至过户前的市场环境下，双方重新平衡了估值预期。补充协议二签署时点距过户仅10日，说明定价修正与交割安排紧密衔接。在协议转让实践中，从签署到过户期间的市场价格变化可能导致原定价偏离公允价值，补充协议成为修正定价的常见工具。本案中，价格调整没有触发重新审批或合规障碍，表明双方事先在协议中预。</w:t>
      </w:r>
    </w:p>
    <w:p>
      <w:pPr>
        <w:spacing w:before="0" w:after="0" w:line="240" w:lineRule="auto" w:beforeLines="0" w:afterLines="0"/>
        <w:jc w:val="both"/>
        <w:ind w:firstLineChars="200"/>
      </w:pPr>
      <w:r>
        <w:rPr>
          <w:rFonts w:ascii="Times New Roman" w:hAnsi="Times New Roman" w:eastAsia="仿宋" w:cs="Times New Roman"/>
          <w:b w:val="0"/>
          <w:sz w:val="28"/>
        </w:rPr>
        <w:t>值得注意的是，公告未披露亚康股份在协议签署日及补充协议日的二级市场价格，无法判断协议价是折价还是溢价。但价格下调幅度较大，可能涉及市场环境变化或原定价过高，由于缺乏依据，不应臆测具体原因。对同类交易而言，价格调整条款本身值得关注：协议转让通常需在首次公告时明确价格或定价原则，后续调整需履行相应程序并披露，本案通过补充协议完成调整，程序上合规，但调整理由的缺失使外部投资者难以完全评估交易的公平性。</w:t>
      </w:r>
    </w:p>
    <w:p>
      <w:pPr>
        <w:spacing w:before="0" w:after="0" w:line="240" w:lineRule="auto" w:beforeLines="0" w:afterLines="0"/>
        <w:jc w:val="left"/>
        <w:ind w:firstLineChars="200"/>
      </w:pPr>
      <w:r>
        <w:rPr>
          <w:rFonts w:ascii="Times New Roman" w:hAnsi="Times New Roman" w:eastAsia="仿宋" w:cs="Times New Roman"/>
          <w:b/>
          <w:sz w:val="28"/>
        </w:rPr>
        <w:t>三、自有资金账户与受让主体分离：富德产险与富德科技的账户安排</w:t>
      </w:r>
    </w:p>
    <w:p>
      <w:pPr>
        <w:spacing w:before="0" w:after="0" w:line="240" w:lineRule="auto" w:beforeLines="0" w:afterLines="0"/>
        <w:jc w:val="both"/>
        <w:ind w:firstLineChars="200"/>
      </w:pPr>
      <w:r>
        <w:rPr>
          <w:rFonts w:ascii="Times New Roman" w:hAnsi="Times New Roman" w:eastAsia="仿宋" w:cs="Times New Roman"/>
          <w:b w:val="0"/>
          <w:sz w:val="28"/>
        </w:rPr>
        <w:t>富德产险作为受让方之一，并未以公司法人主体直接持有，而是将股份过户至</w:t>
      </w:r>
      <w:r>
        <w:rPr>
          <w:rFonts w:ascii="Times New Roman" w:hAnsi="Times New Roman" w:eastAsia="Times New Roman" w:cs="Times New Roman"/>
          <w:b w:val="0"/>
          <w:sz w:val="28"/>
        </w:rPr>
        <w:t>“</w:t>
      </w:r>
      <w:r>
        <w:rPr>
          <w:rFonts w:ascii="Times New Roman" w:hAnsi="Times New Roman" w:eastAsia="仿宋" w:cs="Times New Roman"/>
          <w:b w:val="0"/>
          <w:sz w:val="28"/>
        </w:rPr>
        <w:t>富德财产保险股份有限公司-自有资金1</w:t>
      </w:r>
      <w:r>
        <w:rPr>
          <w:rFonts w:ascii="Times New Roman" w:hAnsi="Times New Roman" w:eastAsia="Times New Roman" w:cs="Times New Roman"/>
          <w:b w:val="0"/>
          <w:sz w:val="28"/>
        </w:rPr>
        <w:t>”</w:t>
      </w:r>
      <w:r>
        <w:rPr>
          <w:rFonts w:ascii="Times New Roman" w:hAnsi="Times New Roman" w:eastAsia="仿宋" w:cs="Times New Roman"/>
          <w:b w:val="0"/>
          <w:sz w:val="28"/>
        </w:rPr>
        <w:t>账户。2026年7月3日签署的补充协议（一）明确原协议项下标的股份最终过户登记至该账户。这一安排符合保险资金运用中不同资金账户分账管理的要求，表明本次投资使用富德产险自有资金，而非保险责任准备金或资管产品资金。富德科技则直接以自身名义受让，未涉及资管账户。公告未披露二者之间是否存在关联关系或一致行动安排。</w:t>
      </w:r>
    </w:p>
    <w:p>
      <w:pPr>
        <w:spacing w:before="0" w:after="0" w:line="240" w:lineRule="auto" w:beforeLines="0" w:afterLines="0"/>
        <w:jc w:val="both"/>
        <w:ind w:firstLineChars="200"/>
      </w:pPr>
      <w:r>
        <w:rPr>
          <w:rFonts w:ascii="Times New Roman" w:hAnsi="Times New Roman" w:eastAsia="仿宋" w:cs="Times New Roman"/>
          <w:b w:val="0"/>
          <w:sz w:val="28"/>
        </w:rPr>
        <w:t>生命保险资产管理有限公司（下称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生命保险资管</w:t>
      </w:r>
      <w:r>
        <w:rPr>
          <w:rFonts w:ascii="Times New Roman" w:hAnsi="Times New Roman" w:eastAsia="Times New Roman" w:cs="Times New Roman"/>
          <w:b w:val="0"/>
          <w:sz w:val="28"/>
        </w:rPr>
        <w:t>”</w:t>
      </w:r>
      <w:r>
        <w:rPr>
          <w:rFonts w:ascii="Times New Roman" w:hAnsi="Times New Roman" w:eastAsia="仿宋" w:cs="Times New Roman"/>
          <w:b w:val="0"/>
          <w:sz w:val="28"/>
        </w:rPr>
        <w:t>）作为补充协议签署方，仅出现在与富德产险相关的文件中，未参与富德科技的交易文件。这表明富德产险可能通过关联资产管理公司进行投资管理，而富德科技则独立操作。该结构在一定程度上隔离了保险资管与产业资本的投资路径，但也增加了外部股东识别实际控制关系的难度。从持股比例看，富德产险、富德科技各持5.00%，合计10.00%。</w:t>
      </w:r>
    </w:p>
    <w:p>
      <w:pPr>
        <w:spacing w:before="0" w:after="0" w:line="240" w:lineRule="auto" w:beforeLines="0" w:afterLines="0"/>
        <w:jc w:val="left"/>
        <w:ind w:firstLineChars="200"/>
      </w:pPr>
      <w:r>
        <w:rPr>
          <w:rFonts w:ascii="Times New Roman" w:hAnsi="Times New Roman" w:eastAsia="仿宋" w:cs="Times New Roman"/>
          <w:b/>
          <w:sz w:val="28"/>
        </w:rPr>
        <w:t>四、双5%持股与18个月锁定期：治理边界与财务投资人属性</w:t>
      </w:r>
    </w:p>
    <w:p>
      <w:pPr>
        <w:spacing w:before="0" w:after="0" w:line="240" w:lineRule="auto" w:beforeLines="0" w:afterLines="0"/>
        <w:jc w:val="both"/>
        <w:ind w:firstLineChars="200"/>
      </w:pPr>
      <w:r>
        <w:rPr>
          <w:rFonts w:ascii="Times New Roman" w:hAnsi="Times New Roman" w:eastAsia="仿宋" w:cs="Times New Roman"/>
          <w:b w:val="0"/>
          <w:sz w:val="28"/>
        </w:rPr>
        <w:t>交易完成后，富德产险、富德科技各持有亚康股份5.00%股份，合计10.00%，成为持股5%以上股东。公告明确本次协议转让不会导致控股股东、实际控制人变化，不触及要约收购，不构成关联交易。双5%结构的设计具有清晰的治理含义：单一受让方持股5%恰好触发权益披露义务，但未达到要约收购线；两个受让方合计10%也未触及要约线，但形成较有分量的股东群体。从治理角度看，单。</w:t>
      </w:r>
    </w:p>
    <w:p>
      <w:pPr>
        <w:spacing w:before="0" w:after="0" w:line="240" w:lineRule="auto" w:beforeLines="0" w:afterLines="0"/>
        <w:jc w:val="both"/>
        <w:ind w:firstLineChars="200"/>
      </w:pPr>
      <w:r>
        <w:rPr>
          <w:rFonts w:ascii="Times New Roman" w:hAnsi="Times New Roman" w:eastAsia="仿宋" w:cs="Times New Roman"/>
          <w:b w:val="0"/>
          <w:sz w:val="28"/>
        </w:rPr>
        <w:t>受让方均承诺自交割完成之日起18个月内不以任何方式主动减持。该锁定期远超《证券法》对短线交易的6个月限制，亦高于一般协议转让中常见的6至12个月，体现较强的长期持有意愿。对保险资金而言，18个月锁定期与其资金久期匹配，能避免短期波动干扰。从监管角度看，锁定期有助于稳定市场预期，防止</w:t>
      </w:r>
      <w:r>
        <w:rPr>
          <w:rFonts w:ascii="Times New Roman" w:hAnsi="Times New Roman" w:eastAsia="Times New Roman" w:cs="Times New Roman"/>
          <w:b w:val="0"/>
          <w:sz w:val="28"/>
        </w:rPr>
        <w:t>“</w:t>
      </w:r>
      <w:r>
        <w:rPr>
          <w:rFonts w:ascii="Times New Roman" w:hAnsi="Times New Roman" w:eastAsia="仿宋" w:cs="Times New Roman"/>
          <w:b w:val="0"/>
          <w:sz w:val="28"/>
        </w:rPr>
        <w:t>过桥减持</w:t>
      </w:r>
      <w:r>
        <w:rPr>
          <w:rFonts w:ascii="Times New Roman" w:hAnsi="Times New Roman" w:eastAsia="Times New Roman" w:cs="Times New Roman"/>
          <w:b w:val="0"/>
          <w:sz w:val="28"/>
        </w:rPr>
        <w:t>”</w:t>
      </w:r>
      <w:r>
        <w:rPr>
          <w:rFonts w:ascii="Times New Roman" w:hAnsi="Times New Roman" w:eastAsia="仿宋" w:cs="Times New Roman"/>
          <w:b w:val="0"/>
          <w:sz w:val="28"/>
        </w:rPr>
        <w:t>或利益输送。公告同时提示，相关股东股份变动将严格遵守《上市公司股东减持股份管理暂行办法》等规定。</w:t>
      </w:r>
    </w:p>
    <w:p>
      <w:pPr>
        <w:spacing w:before="0" w:after="0" w:line="240" w:lineRule="auto" w:beforeLines="0" w:afterLines="0"/>
        <w:jc w:val="both"/>
        <w:ind w:firstLineChars="200"/>
      </w:pPr>
      <w:r>
        <w:rPr>
          <w:rFonts w:ascii="Times New Roman" w:hAnsi="Times New Roman" w:eastAsia="仿宋" w:cs="Times New Roman"/>
          <w:b w:val="0"/>
          <w:sz w:val="28"/>
        </w:rPr>
        <w:t>亚康股份公告披露了</w:t>
      </w:r>
      <w:r>
        <w:rPr>
          <w:rFonts w:ascii="Times New Roman" w:hAnsi="Times New Roman" w:eastAsia="Times New Roman" w:cs="Times New Roman"/>
          <w:b w:val="0"/>
          <w:sz w:val="28"/>
        </w:rPr>
        <w:t>“</w:t>
      </w:r>
      <w:r>
        <w:rPr>
          <w:rFonts w:ascii="Times New Roman" w:hAnsi="Times New Roman" w:eastAsia="仿宋" w:cs="Times New Roman"/>
          <w:b w:val="0"/>
          <w:sz w:val="28"/>
        </w:rPr>
        <w:t>剔除回购专户后总股本比例5.04%</w:t>
      </w:r>
      <w:r>
        <w:rPr>
          <w:rFonts w:ascii="Times New Roman" w:hAnsi="Times New Roman" w:eastAsia="Times New Roman" w:cs="Times New Roman"/>
          <w:b w:val="0"/>
          <w:sz w:val="28"/>
        </w:rPr>
        <w:t>”</w:t>
      </w:r>
      <w:r>
        <w:rPr>
          <w:rFonts w:ascii="Times New Roman" w:hAnsi="Times New Roman" w:eastAsia="仿宋" w:cs="Times New Roman"/>
          <w:b w:val="0"/>
          <w:sz w:val="28"/>
        </w:rPr>
        <w:t>，说明公司存在回购专户，导致实际流通总股本略低。回购专户的存在可能影响股份流动性，但公告未披露回购规模，无法进一步评估。整体而言，富德产险使用自有资金受让而非保险产品资金，显示其将本次投资视为一般财务投资；承诺18个月不减持，进一步强化该判断。双5%结构在维持控制权稳定的同时，为上市公司引入了具有长期属性的财务投资人，治理边界清晰。</w:t>
      </w:r>
    </w:p>
    <w:p>
      <w:pPr>
        <w:spacing w:before="0" w:after="0" w:line="240" w:lineRule="auto" w:beforeLines="0" w:afterLines="0"/>
        <w:jc w:val="left"/>
        <w:ind w:firstLineChars="200"/>
      </w:pPr>
      <w:r>
        <w:rPr>
          <w:rFonts w:ascii="Times New Roman" w:hAnsi="Times New Roman" w:eastAsia="仿宋" w:cs="Times New Roman"/>
          <w:b/>
          <w:sz w:val="28"/>
        </w:rPr>
        <w:t>五、合规确认与过户登记：交割承接的程序完整性</w:t>
      </w:r>
    </w:p>
    <w:p>
      <w:pPr>
        <w:spacing w:before="0" w:after="0" w:line="240" w:lineRule="auto" w:beforeLines="0" w:afterLines="0"/>
        <w:jc w:val="both"/>
        <w:ind w:firstLineChars="200"/>
      </w:pPr>
      <w:r>
        <w:rPr>
          <w:rFonts w:ascii="Times New Roman" w:hAnsi="Times New Roman" w:eastAsia="仿宋" w:cs="Times New Roman"/>
          <w:b w:val="0"/>
          <w:sz w:val="28"/>
        </w:rPr>
        <w:t>本次协议转让事项已获得深圳证券交易所合规性确认，并已在中国证券登记结算有限责任公司深圳分公司办理完成过户登记手续，取得了《证券过户登记确认书》。过户日期为2026年7月31日，合计过户股份数量为8,680,000股。自协议签署至过户完成，共经历四次文件变更：5月28日签署原协议，7月3日签署补充协议（一）调整过户主体，7月21日签署补充协议二（一）（二）调整转让价格，最终7月31日过户。公告于8月3日披露，符合过户后及时披露的要求。</w:t>
      </w:r>
    </w:p>
    <w:p>
      <w:pPr>
        <w:spacing w:before="0" w:after="0" w:line="240" w:lineRule="auto" w:beforeLines="0" w:afterLines="0"/>
        <w:jc w:val="both"/>
        <w:ind w:firstLineChars="200"/>
      </w:pPr>
      <w:r>
        <w:rPr>
          <w:rFonts w:ascii="Times New Roman" w:hAnsi="Times New Roman" w:eastAsia="仿宋" w:cs="Times New Roman"/>
          <w:b w:val="0"/>
          <w:sz w:val="28"/>
        </w:rPr>
        <w:t>交割承接的关键在于明确过户主体、价格调整文件，确保最终登记与协议一致。本案中，补充协议（一）将富德产险受让股份的过户主体变更为</w:t>
      </w:r>
      <w:r>
        <w:rPr>
          <w:rFonts w:ascii="Times New Roman" w:hAnsi="Times New Roman" w:eastAsia="Times New Roman" w:cs="Times New Roman"/>
          <w:b w:val="0"/>
          <w:sz w:val="28"/>
        </w:rPr>
        <w:t>“</w:t>
      </w:r>
      <w:r>
        <w:rPr>
          <w:rFonts w:ascii="Times New Roman" w:hAnsi="Times New Roman" w:eastAsia="仿宋" w:cs="Times New Roman"/>
          <w:b w:val="0"/>
          <w:sz w:val="28"/>
        </w:rPr>
        <w:t>富德财产保险股份有限公司-自有资金1</w:t>
      </w:r>
      <w:r>
        <w:rPr>
          <w:rFonts w:ascii="Times New Roman" w:hAnsi="Times New Roman" w:eastAsia="Times New Roman" w:cs="Times New Roman"/>
          <w:b w:val="0"/>
          <w:sz w:val="28"/>
        </w:rPr>
        <w:t>”</w:t>
      </w:r>
      <w:r>
        <w:rPr>
          <w:rFonts w:ascii="Times New Roman" w:hAnsi="Times New Roman" w:eastAsia="仿宋" w:cs="Times New Roman"/>
          <w:b w:val="0"/>
          <w:sz w:val="28"/>
        </w:rPr>
        <w:t>，补充协议二调整价格，这些变更均通过书面补充协议完成，且最终获得交易所合规确认，程序完整。对于同类交易，交割前的文件变更应及时修订并披露，避免因主体或价格不一致导致过户障碍。本案虽未披露调整原因，但程序上未出现瑕疵，为协议转让的交割管理提供了可参考的流程样本。</w:t>
      </w:r>
    </w:p>
    <w:p>
      <w:pPr>
        <w:spacing w:before="0" w:after="0" w:line="240" w:lineRule="auto" w:beforeLines="0" w:afterLines="0"/>
        <w:jc w:val="left"/>
        <w:ind w:firstLineChars="200"/>
      </w:pPr>
      <w:r>
        <w:rPr>
          <w:rFonts w:ascii="Times New Roman" w:hAnsi="Times New Roman" w:eastAsia="仿宋" w:cs="Times New Roman"/>
          <w:b/>
          <w:sz w:val="28"/>
        </w:rPr>
        <w:t>六、结语：协议转让与交割条件的核验方法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祥远至鸿向富德产险、富德科技各转让4,340,000股，合计10.00%，转让价格由59.64元/股修正为46.53元/股，2026年7月31日完成过户，受让方承诺18个月不减持。交易未改变控制权，但引入保险资金及关联方成为持股5%以上股东。公开资料未披露双方主观动机，但条款本身提供了清晰的交易逻辑：卖方通过协议转让实现部分股权变现，买方以折价取得股份并锁定中长期，双方在控制权、价格、账户和锁定期上形成了可执行的约定。</w:t>
      </w:r>
    </w:p>
    <w:p>
      <w:pPr>
        <w:spacing w:before="0" w:after="0" w:line="240" w:lineRule="auto" w:beforeLines="0" w:afterLines="0"/>
        <w:jc w:val="both"/>
        <w:ind w:firstLineChars="200"/>
      </w:pPr>
      <w:r>
        <w:rPr>
          <w:rFonts w:ascii="Times New Roman" w:hAnsi="Times New Roman" w:eastAsia="仿宋" w:cs="Times New Roman"/>
          <w:b w:val="0"/>
          <w:sz w:val="28"/>
        </w:rPr>
        <w:t>同类交易可从本案获得三方面借鉴：一是</w:t>
      </w:r>
      <w:r>
        <w:rPr>
          <w:rFonts w:ascii="Times New Roman" w:hAnsi="Times New Roman" w:eastAsia="Times New Roman" w:cs="Times New Roman"/>
          <w:b w:val="0"/>
          <w:sz w:val="28"/>
        </w:rPr>
        <w:t>“</w:t>
      </w:r>
      <w:r>
        <w:rPr>
          <w:rFonts w:ascii="Times New Roman" w:hAnsi="Times New Roman" w:eastAsia="仿宋" w:cs="Times New Roman"/>
          <w:b w:val="0"/>
          <w:sz w:val="28"/>
        </w:rPr>
        <w:t>双受让方+锁定期</w:t>
      </w:r>
      <w:r>
        <w:rPr>
          <w:rFonts w:ascii="Times New Roman" w:hAnsi="Times New Roman" w:eastAsia="Times New Roman" w:cs="Times New Roman"/>
          <w:b w:val="0"/>
          <w:sz w:val="28"/>
        </w:rPr>
        <w:t>”</w:t>
      </w:r>
      <w:r>
        <w:rPr>
          <w:rFonts w:ascii="Times New Roman" w:hAnsi="Times New Roman" w:eastAsia="仿宋" w:cs="Times New Roman"/>
          <w:b w:val="0"/>
          <w:sz w:val="28"/>
        </w:rPr>
        <w:t>结构能在维持控制权稳定的同时实现财务投资进入，但需在公告中明确是否构成一致行动人，避免治理模糊；二是协议转让中的价格调整机制应保留弹性，但必须充分披露调整依据，确保中小股东对交易公平性的判断有据可依；三是保险资金通过自有资金账户持股，有助于厘清投资责任与风险隔离，但账户与公司主体之间的法律边界需在补充协议中清晰界定。最终，交易的成功交割取决于双方对定价、交割主体和治理预期的清晰约定，本案为此类险资入股上市公司提供了完整的流程参考。</w:t>
      </w:r>
    </w:p>
    <w:p>
      <w:pPr>
        <w:spacing w:before="0" w:after="0" w:line="240" w:lineRule="auto" w:beforeLines="0" w:afterLines="0"/>
        <w:jc w:val="both"/>
        <w:ind w:firstLineChars="200"/>
      </w:pPr>
      <w:r>
        <w:rPr>
          <w:rFonts w:ascii="Times New Roman" w:hAnsi="Times New Roman" w:eastAsia="仿宋" w:cs="Times New Roman"/>
          <w:b w:val="0"/>
          <w:sz w:val="28"/>
        </w:rPr>
        <w:t>回到分别与富德财产保险与亚康股份5%股份，本案的方法论意义不在于把交易结果写成通用并购总结，而在于把协议转让；转让价格原为59.64元/股，经补充协议调整为46.53元/股；交易股份合计8,680,000股；具体交易总金额公开资料未披露、股份数量：4,340,000股（每受让方），合计8,680,000股；持股比例：每受让方占公司总股本5.00%，占剔除回购专户后总股本比例5.04%；转让价格：59.64元/股，后调整为46.53元/股；过户日期：2026年7月31日、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分别与富德财产保险而言，关键是交割承接和整合节奏能否与已披露安排匹配；对亚康股份5%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