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中芯国际集成电路制造收购中芯北方集成电路制造：协议转让与交割条件</w:t>
      </w:r>
    </w:p>
    <w:p>
      <w:pPr>
        <w:spacing w:before="0" w:after="0" w:line="240" w:lineRule="auto" w:beforeLines="0" w:afterLines="0"/>
        <w:jc w:val="both"/>
        <w:ind w:firstLineChars="200"/>
      </w:pPr>
      <w:r>
        <w:rPr>
          <w:rFonts w:ascii="Times New Roman" w:hAnsi="Times New Roman" w:eastAsia="仿宋" w:cs="Times New Roman"/>
          <w:b w:val="0"/>
          <w:sz w:val="28"/>
        </w:rPr>
        <w:t>本案例涉及中芯国际集成电路制造有限公司（下称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中芯国际集成电路制造</w:t>
      </w:r>
      <w:r>
        <w:rPr>
          <w:rFonts w:ascii="Times New Roman" w:hAnsi="Times New Roman" w:eastAsia="Times New Roman" w:cs="Times New Roman"/>
          <w:b w:val="0"/>
          <w:sz w:val="28"/>
        </w:rPr>
        <w:t>”</w:t>
      </w:r>
      <w:r>
        <w:rPr>
          <w:rFonts w:ascii="Times New Roman" w:hAnsi="Times New Roman" w:eastAsia="仿宋" w:cs="Times New Roman"/>
          <w:b w:val="0"/>
          <w:sz w:val="28"/>
        </w:rPr>
        <w:t>）收购中芯北方集成电路制造（北京）有限公司49%股权（下称</w:t>
      </w:r>
      <w:r>
        <w:rPr>
          <w:rFonts w:ascii="Times New Roman" w:hAnsi="Times New Roman" w:eastAsia="Times New Roman" w:cs="Times New Roman"/>
          <w:b w:val="0"/>
          <w:sz w:val="28"/>
        </w:rPr>
        <w:t>“</w:t>
      </w:r>
      <w:r>
        <w:rPr>
          <w:rFonts w:ascii="Times New Roman" w:hAnsi="Times New Roman" w:eastAsia="仿宋" w:cs="Times New Roman"/>
          <w:b w:val="0"/>
          <w:sz w:val="28"/>
        </w:rPr>
        <w:t>中芯北方集成电路制造49%股权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中芯国际关于发行股份购买资产暨关联交易事项之标的资产过户完成的公告，目标线索为公开资料未单独披露买方主观原因；基于交易条款，买方通过发行股份购买资产方式取得标的公司49%股权，交易完成后标的公司成为其直接及间接持股的全资子公司。。晶圆代工行业规模扩张与产能控制的紧迫性，使得上市公司通过整合子公司少数股权以强化核心资产控制权变得愈发常见。</w:t>
      </w:r>
    </w:p>
    <w:p>
      <w:pPr>
        <w:spacing w:before="0" w:after="0" w:line="240" w:lineRule="auto" w:beforeLines="0" w:afterLines="0"/>
        <w:jc w:val="left"/>
        <w:ind w:firstLineChars="200"/>
      </w:pPr>
      <w:r>
        <w:rPr>
          <w:rFonts w:ascii="Times New Roman" w:hAnsi="Times New Roman" w:eastAsia="仿宋" w:cs="Times New Roman"/>
          <w:b/>
          <w:sz w:val="28"/>
        </w:rPr>
        <w:t>一、少数股权格局的形成与整合窗口开启</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公开资料未披露具体金额，支付方式为股份支付；时间线包括2026-05-21：中国证监会出具《关于同意中芯国际集成电路制造有限公司发行股份购买资产注册的批复》（证监许可〔2026〕1209号）；2026-06-12：北京经济技术开发区市场监督管理局核准标的公司工商变更，标的公司49%股权过户至中芯国际名下。</w:t>
      </w:r>
    </w:p>
    <w:p>
      <w:pPr>
        <w:spacing w:before="0" w:after="0" w:line="240" w:lineRule="auto" w:beforeLines="0" w:afterLines="0"/>
        <w:jc w:val="both"/>
        <w:ind w:firstLineChars="200"/>
      </w:pPr>
      <w:r>
        <w:rPr>
          <w:rFonts w:ascii="Times New Roman" w:hAnsi="Times New Roman" w:eastAsia="仿宋" w:cs="Times New Roman"/>
          <w:b w:val="0"/>
          <w:sz w:val="28"/>
        </w:rPr>
        <w:t>本次交易前，中芯北方已是中芯国际控股子公司，中芯国际直接及间接持有其51%股权，剩余49%股权分散在五家产业与地方国资股东手中，包括国家集成电路产业投资基金股份有限公司、北京集成电路制造和装备股权投资中心（有限合伙）、北京亦庄国际投资发展有限公司、中关村发展集团股份有限公司及北京工业发展投资管理有限公司。这一股权架构是典型</w:t>
      </w:r>
      <w:r>
        <w:rPr>
          <w:rFonts w:ascii="Times New Roman" w:hAnsi="Times New Roman" w:eastAsia="Times New Roman" w:cs="Times New Roman"/>
          <w:b w:val="0"/>
          <w:sz w:val="28"/>
        </w:rPr>
        <w:t>“</w:t>
      </w:r>
      <w:r>
        <w:rPr>
          <w:rFonts w:ascii="Times New Roman" w:hAnsi="Times New Roman" w:eastAsia="仿宋" w:cs="Times New Roman"/>
          <w:b w:val="0"/>
          <w:sz w:val="28"/>
        </w:rPr>
        <w:t>上市公司+产业资本+地方资源</w:t>
      </w:r>
      <w:r>
        <w:rPr>
          <w:rFonts w:ascii="Times New Roman" w:hAnsi="Times New Roman" w:eastAsia="Times New Roman" w:cs="Times New Roman"/>
          <w:b w:val="0"/>
          <w:sz w:val="28"/>
        </w:rPr>
        <w:t>”</w:t>
      </w:r>
      <w:r>
        <w:rPr>
          <w:rFonts w:ascii="Times New Roman" w:hAnsi="Times New Roman" w:eastAsia="仿宋" w:cs="Times New Roman"/>
          <w:b w:val="0"/>
          <w:sz w:val="28"/>
        </w:rPr>
        <w:t>的培。</w:t>
      </w:r>
    </w:p>
    <w:p>
      <w:pPr>
        <w:spacing w:before="0" w:after="0" w:line="240" w:lineRule="auto" w:beforeLines="0" w:afterLines="0"/>
        <w:jc w:val="both"/>
        <w:ind w:firstLineChars="200"/>
      </w:pPr>
      <w:r>
        <w:rPr>
          <w:rFonts w:ascii="Times New Roman" w:hAnsi="Times New Roman" w:eastAsia="仿宋" w:cs="Times New Roman"/>
          <w:b w:val="0"/>
          <w:sz w:val="28"/>
        </w:rPr>
        <w:t>随着国内半导体产业链对自主可控与产能保障需求日益紧迫，中芯北方承载的北京12英寸晶圆制造产能已进入稳定量产阶段，其在集团内部的战略地位显著上升，但分散的少数股权开始制约快速决策与资源调配。与此同时，产业资本在完成早期扶持任务后，需要实现投资退出与循环，而地方国资也有优化资产布局的考量。两种需求叠加，使中芯国际启动收购剩余股权的时机趋于成熟。公开资料未披露交易。</w:t>
      </w:r>
    </w:p>
    <w:p>
      <w:pPr>
        <w:spacing w:before="0" w:after="0" w:line="240" w:lineRule="auto" w:beforeLines="0" w:afterLines="0"/>
        <w:jc w:val="left"/>
        <w:ind w:firstLineChars="200"/>
      </w:pPr>
      <w:r>
        <w:rPr>
          <w:rFonts w:ascii="Times New Roman" w:hAnsi="Times New Roman" w:eastAsia="仿宋" w:cs="Times New Roman"/>
          <w:b/>
          <w:sz w:val="28"/>
        </w:rPr>
        <w:t>二、从董事会决议到证监会注册：发起路径与审批效率</w:t>
      </w:r>
    </w:p>
    <w:p>
      <w:pPr>
        <w:spacing w:before="0" w:after="0" w:line="240" w:lineRule="auto" w:beforeLines="0" w:afterLines="0"/>
        <w:jc w:val="both"/>
        <w:ind w:firstLineChars="200"/>
      </w:pPr>
      <w:r>
        <w:rPr>
          <w:rFonts w:ascii="Times New Roman" w:hAnsi="Times New Roman" w:eastAsia="仿宋" w:cs="Times New Roman"/>
          <w:b w:val="0"/>
          <w:sz w:val="28"/>
        </w:rPr>
        <w:t>交易由中芯国际董事会决议发起，方案为向五名交易对方发行股份，购买其合计持有的中芯北方49%股权。由于交易对方中包括持股比例显著的关联方（如国家大基金），该交易构成关联交易，需经股东大会非关联股东批准。中芯国际随后向中国证监会提交重大资产重组注册申请，2026年5月21日获得中国证监会《关于同意中芯国际集成电路制造有限公司发行股份购买资产注册的批复》（证监许可。</w:t>
      </w:r>
    </w:p>
    <w:p>
      <w:pPr>
        <w:spacing w:before="0" w:after="0" w:line="240" w:lineRule="auto" w:beforeLines="0" w:afterLines="0"/>
        <w:jc w:val="both"/>
        <w:ind w:firstLineChars="200"/>
      </w:pPr>
      <w:r>
        <w:rPr>
          <w:rFonts w:ascii="Times New Roman" w:hAnsi="Times New Roman" w:eastAsia="仿宋" w:cs="Times New Roman"/>
          <w:b w:val="0"/>
          <w:sz w:val="28"/>
        </w:rPr>
        <w:t>审批路径反映出注册制下重大资产重组的典型节奏：从董事会预案到股东大会批准，再到交易所审核与证监会注册，最后完成资产交割，全程约半年，效率较高。这得益于交易本身的清晰度——收购对象为已并表的控股子公司，业务成熟度可验证，且交易不涉及现金支付，不会引发资金匮乏的疑虑。中芯国际作为A+H两地上市的晶圆代工龙头，其交易推进还须兼顾两地信息披露规则，但公告并未详细披露。</w:t>
      </w:r>
    </w:p>
    <w:p>
      <w:pPr>
        <w:spacing w:before="0" w:after="0" w:line="240" w:lineRule="auto" w:beforeLines="0" w:afterLines="0"/>
        <w:jc w:val="left"/>
        <w:ind w:firstLineChars="200"/>
      </w:pPr>
      <w:r>
        <w:rPr>
          <w:rFonts w:ascii="Times New Roman" w:hAnsi="Times New Roman" w:eastAsia="仿宋" w:cs="Times New Roman"/>
          <w:b/>
          <w:sz w:val="28"/>
        </w:rPr>
        <w:t>三、股份支付结构的内生逻辑：定价、锁定期与利益绑定</w:t>
      </w:r>
    </w:p>
    <w:p>
      <w:pPr>
        <w:spacing w:before="0" w:after="0" w:line="240" w:lineRule="auto" w:beforeLines="0" w:afterLines="0"/>
        <w:jc w:val="both"/>
        <w:ind w:firstLineChars="200"/>
      </w:pPr>
      <w:r>
        <w:rPr>
          <w:rFonts w:ascii="Times New Roman" w:hAnsi="Times New Roman" w:eastAsia="仿宋" w:cs="Times New Roman"/>
          <w:b w:val="0"/>
          <w:sz w:val="28"/>
        </w:rPr>
        <w:t>本次交易未披露具体交易金额，但明确了支付方式为股份支付，即中芯国际向五名交易对方发行股份作为购买中芯北方49%股权的对价。在晶圆制造这类重资产、高资本开支行业，选择股份支付而非现金，首先可避免消耗宝贵的现金储备。中芯国际近年持续扩产，12英寸产线投资规模巨大，保留现金用于设备采购和研发，对维持技术追赶速度至关重要。其次，股份支付将卖方利益与上市公司长期价值绑。</w:t>
      </w:r>
    </w:p>
    <w:p>
      <w:pPr>
        <w:spacing w:before="0" w:after="0" w:line="240" w:lineRule="auto" w:beforeLines="0" w:afterLines="0"/>
        <w:jc w:val="both"/>
        <w:ind w:firstLineChars="200"/>
      </w:pPr>
      <w:r>
        <w:rPr>
          <w:rFonts w:ascii="Times New Roman" w:hAnsi="Times New Roman" w:eastAsia="仿宋" w:cs="Times New Roman"/>
          <w:b w:val="0"/>
          <w:sz w:val="28"/>
        </w:rPr>
        <w:t>发行股份购买资产的定价一般依据定价基准日前20个交易日的股票均价，并可能设置锁定期。公告虽未详述具体发行价格、股份数量及锁定期安排，但基于同类交易惯例，交易对方极有可能锁定12至36个月，以保障中芯国际股权结构稳定和中小股东利益。这一锁定安排暗含重要机理：它有效防止了产业资本在取得股票后立即抛售，避免对二级市场造成冲击，同时也让卖方有充分时间观察整合效果，增。</w:t>
      </w:r>
    </w:p>
    <w:p>
      <w:pPr>
        <w:spacing w:before="0" w:after="0" w:line="240" w:lineRule="auto" w:beforeLines="0" w:afterLines="0"/>
        <w:jc w:val="both"/>
        <w:ind w:firstLineChars="200"/>
      </w:pPr>
      <w:r>
        <w:rPr>
          <w:rFonts w:ascii="Times New Roman" w:hAnsi="Times New Roman" w:eastAsia="仿宋" w:cs="Times New Roman"/>
          <w:b w:val="0"/>
          <w:sz w:val="28"/>
        </w:rPr>
        <w:t>交易完成后，中芯北方由控股子公司变为全资子公司，中芯国际合并报表层面的少数股东权益将减少，归属于母公司股东的净利润会相应增厚。尽管标的公司财务数据未公开，但该结构变动对每股收益的潜在影响是评审该类交易时的核心关注。中芯国际董事会必须对发行股份的摊薄效应与标的盈利贡献进行审慎评估，独立财务顾问报告通常需对交易估值公允性、盈利能力及未来现金流预测发表意见，以支撑股份对价方案通过关联股东回避后的股东大会表决。</w:t>
      </w:r>
    </w:p>
    <w:p>
      <w:pPr>
        <w:spacing w:before="0" w:after="0" w:line="240" w:lineRule="auto" w:beforeLines="0" w:afterLines="0"/>
        <w:jc w:val="left"/>
        <w:ind w:firstLineChars="200"/>
      </w:pPr>
      <w:r>
        <w:rPr>
          <w:rFonts w:ascii="Times New Roman" w:hAnsi="Times New Roman" w:eastAsia="仿宋" w:cs="Times New Roman"/>
          <w:b/>
          <w:sz w:val="28"/>
        </w:rPr>
        <w:t>四、全资控制后的治理简化与产能协同效应</w:t>
      </w:r>
    </w:p>
    <w:p>
      <w:pPr>
        <w:spacing w:before="0" w:after="0" w:line="240" w:lineRule="auto" w:beforeLines="0" w:afterLines="0"/>
        <w:jc w:val="both"/>
        <w:ind w:firstLineChars="200"/>
      </w:pPr>
      <w:r>
        <w:rPr>
          <w:rFonts w:ascii="Times New Roman" w:hAnsi="Times New Roman" w:eastAsia="仿宋" w:cs="Times New Roman"/>
          <w:b w:val="0"/>
          <w:sz w:val="28"/>
        </w:rPr>
        <w:t>全资化最直接的效果是治理结构的简化。原先中芯北方虽有中芯国际控股，但49%少数股权分散在五家机构手中，重大资本开支、利润分配、技术路线选择等决策可能需要与少数股东协商，影响决策效率和资源调配的敏捷性。将其转为全资子公司后，中芯北方将完全纳入中芯国际的垂直管理体系，北京基地的产能规划可直接对接集团整体战略，例如承接特定客户订单、平衡不同技术节点产能等。尤其在1。</w:t>
      </w:r>
    </w:p>
    <w:p>
      <w:pPr>
        <w:spacing w:before="0" w:after="0" w:line="240" w:lineRule="auto" w:beforeLines="0" w:afterLines="0"/>
        <w:jc w:val="both"/>
        <w:ind w:firstLineChars="200"/>
      </w:pPr>
      <w:r>
        <w:rPr>
          <w:rFonts w:ascii="Times New Roman" w:hAnsi="Times New Roman" w:eastAsia="仿宋" w:cs="Times New Roman"/>
          <w:b w:val="0"/>
          <w:sz w:val="28"/>
        </w:rPr>
        <w:t>北京12英寸产线主要覆盖成熟制程，这正是当前国内芯片设计公司需求最旺盛的区间，尤其在消费品、工业物联网和汽车电子领域。全资控制后，中芯国际可以更灵活地在上海、深圳、北京等多地产能间进行调度，优化设备与人才配置，避免产线之间的内部竞争。此外，统一采购和共用供应商体系将释放成本协同效应，这在半导体制造这种规模效应显著的行业尤为重要。从承接角度看，本次资产过户后。</w:t>
      </w:r>
    </w:p>
    <w:p>
      <w:pPr>
        <w:spacing w:before="0" w:after="0" w:line="240" w:lineRule="auto" w:beforeLines="0" w:afterLines="0"/>
        <w:jc w:val="left"/>
        <w:ind w:firstLineChars="200"/>
      </w:pPr>
      <w:r>
        <w:rPr>
          <w:rFonts w:ascii="Times New Roman" w:hAnsi="Times New Roman" w:eastAsia="仿宋" w:cs="Times New Roman"/>
          <w:b/>
          <w:sz w:val="28"/>
        </w:rPr>
        <w:t>五、方法论启示：上市平台整合少数股权的路径设计与风险校准</w:t>
      </w:r>
    </w:p>
    <w:p>
      <w:pPr>
        <w:spacing w:before="0" w:after="0" w:line="240" w:lineRule="auto" w:beforeLines="0" w:afterLines="0"/>
        <w:jc w:val="both"/>
        <w:ind w:firstLineChars="200"/>
      </w:pPr>
      <w:r>
        <w:rPr>
          <w:rFonts w:ascii="Times New Roman" w:hAnsi="Times New Roman" w:eastAsia="仿宋" w:cs="Times New Roman"/>
          <w:b w:val="0"/>
          <w:sz w:val="28"/>
        </w:rPr>
        <w:t>该案例为</w:t>
      </w:r>
      <w:r>
        <w:rPr>
          <w:rFonts w:ascii="Times New Roman" w:hAnsi="Times New Roman" w:eastAsia="Times New Roman" w:cs="Times New Roman"/>
          <w:b w:val="0"/>
          <w:sz w:val="28"/>
        </w:rPr>
        <w:t>“</w:t>
      </w:r>
      <w:r>
        <w:rPr>
          <w:rFonts w:ascii="Times New Roman" w:hAnsi="Times New Roman" w:eastAsia="仿宋" w:cs="Times New Roman"/>
          <w:b w:val="0"/>
          <w:sz w:val="28"/>
        </w:rPr>
        <w:t>产业资本参股培育、上市公司择机全资回购</w:t>
      </w:r>
      <w:r>
        <w:rPr>
          <w:rFonts w:ascii="Times New Roman" w:hAnsi="Times New Roman" w:eastAsia="Times New Roman" w:cs="Times New Roman"/>
          <w:b w:val="0"/>
          <w:sz w:val="28"/>
        </w:rPr>
        <w:t>”</w:t>
      </w:r>
      <w:r>
        <w:rPr>
          <w:rFonts w:ascii="Times New Roman" w:hAnsi="Times New Roman" w:eastAsia="仿宋" w:cs="Times New Roman"/>
          <w:b w:val="0"/>
          <w:sz w:val="28"/>
        </w:rPr>
        <w:t>这一路径提供了操作范本。产业基金与地方平台先以少数股权形式参与重要产线建设，分担早期风险并导入政策资源，待项目成熟后由上市公司通过股份支付承接其权益，卖方则以换股方式实现流动性并维持对行业龙头的间接持股。这一结构既避免了上市公司在建设期承担全部资金压力，又为国有资本提供了退出通道且不造成短期市场冲击。它比现金。</w:t>
      </w:r>
    </w:p>
    <w:p>
      <w:pPr>
        <w:spacing w:before="0" w:after="0" w:line="240" w:lineRule="auto" w:beforeLines="0" w:afterLines="0"/>
        <w:jc w:val="both"/>
        <w:ind w:firstLineChars="200"/>
      </w:pPr>
      <w:r>
        <w:rPr>
          <w:rFonts w:ascii="Times New Roman" w:hAnsi="Times New Roman" w:eastAsia="仿宋" w:cs="Times New Roman"/>
          <w:b w:val="0"/>
          <w:sz w:val="28"/>
        </w:rPr>
        <w:t>在交易方案设计上需把握三个关键点：一是股份对价的定价基准选择与锁定期安排，既要保证上市公司不以高估发行价损害老股东利益，又要确保卖方获得合理的价值体现，通常需配套业绩承诺或盈利预测作为对价调整依据；二是关联交易回避表决机制，必须确保中小股东权益得到保护，并由独立财务顾问出具公允性意见，这是程序正当性的基石；三是注册制下的信息披露深度，监管关注标的公司技术独立。</w:t>
      </w:r>
    </w:p>
    <w:p>
      <w:pPr>
        <w:spacing w:before="0" w:after="0" w:line="240" w:lineRule="auto" w:beforeLines="0" w:afterLines="0"/>
        <w:jc w:val="both"/>
        <w:ind w:firstLineChars="200"/>
      </w:pPr>
      <w:r>
        <w:rPr>
          <w:rFonts w:ascii="Times New Roman" w:hAnsi="Times New Roman" w:eastAsia="仿宋" w:cs="Times New Roman"/>
          <w:b w:val="0"/>
          <w:sz w:val="28"/>
        </w:rPr>
        <w:t>进一步看，这种结构对收购方的市值管理能力提出了更高要求。因为股份支付本质是以自身股权作为并购货币，在公开资料所示条件下公司估值下行，交易对卖方的吸引力会下降，甚至可能因股价波动导致交易失败。中芯国际作为千亿市值级别的晶圆代工龙头，其估值相对稳定，这是交易得以推进的前提。对于市值较小或波动性较大的上市公司，采用类似结构时需考虑设置调整机制，例如跌价补偿条款或调。</w:t>
      </w:r>
    </w:p>
    <w:p>
      <w:pPr>
        <w:spacing w:before="0" w:after="0" w:line="240" w:lineRule="auto" w:beforeLines="0" w:afterLines="0"/>
        <w:jc w:val="left"/>
        <w:ind w:firstLineChars="200"/>
      </w:pPr>
      <w:r>
        <w:rPr>
          <w:rFonts w:ascii="Times New Roman" w:hAnsi="Times New Roman" w:eastAsia="仿宋" w:cs="Times New Roman"/>
          <w:b/>
          <w:sz w:val="28"/>
        </w:rPr>
        <w:t>六、结语：协议转让与交割条件的核验方法</w:t>
      </w:r>
    </w:p>
    <w:p>
      <w:pPr>
        <w:spacing w:before="0" w:after="0" w:line="240" w:lineRule="auto" w:beforeLines="0" w:afterLines="0"/>
        <w:jc w:val="both"/>
        <w:ind w:firstLineChars="200"/>
      </w:pPr>
      <w:r>
        <w:rPr>
          <w:rFonts w:ascii="Times New Roman" w:hAnsi="Times New Roman" w:eastAsia="仿宋" w:cs="Times New Roman"/>
          <w:b w:val="0"/>
          <w:sz w:val="28"/>
        </w:rPr>
        <w:t>中芯国际以发行股份方式收购中芯北方49%股权，本质上是利用上市平台工具将产业资本和地方资源阶段性参与转化为永久性控制权，同时完成了一次平稳的股东结构优化。交易未产生现金费用，保住了宝贵的资本金用于产能扩张，并通过换股引进了国有产业资本作为长期股东，使公司战略与国家半导体发展目标更紧密绑定。从方法论意义上，该案再次确认：在重资产、慢回报的制造领域，依托上市平台用股份支付整合已培育成熟的子公司，是兼顾效率与安全的范式，但其成功实施必须建立在标的资产运营稳定性、股份定价公允性以及关联交易程序合规性三重基石之上。缺失任何一环，都可能引发中小股东抵制或监管否决。对同类并购而言，中芯国际的操作提供了可复制的审批节奏、锁定期设置和关联方回避表决的示范，但也警示各方：股权支付不是无成本的资本操作，它需要标的资产以持续增长的盈利来消化摊薄效应，更需要公司具备跨周期市值管理能力，否则会陷入为整合而整合的陷阱。</w:t>
      </w:r>
    </w:p>
    <w:p>
      <w:pPr>
        <w:spacing w:before="0" w:after="0" w:line="240" w:lineRule="auto" w:beforeLines="0" w:afterLines="0"/>
        <w:jc w:val="both"/>
        <w:ind w:firstLineChars="200"/>
      </w:pPr>
      <w:r>
        <w:rPr>
          <w:rFonts w:ascii="Times New Roman" w:hAnsi="Times New Roman" w:eastAsia="仿宋" w:cs="Times New Roman"/>
          <w:b w:val="0"/>
          <w:sz w:val="28"/>
        </w:rPr>
        <w:t>回到本案事实，中芯国际快速完成从董事会预案到资产过户的全流程，得益于中芯北方已在其51%控股下稳定运营多年，产能与技术路径清晰，这是交易得以高效推进的产业基础。其股份支付结构既为卖方提供了流动性出口，也为买方保全了资本开支能力，实现了产业资本与上市平台的双赢，但最终价值的检验仍取决于北京12英寸产线能否在集团统一调度下持续提升产能利用率和贡献利润。</w:t>
      </w:r>
    </w:p>
    <w:p>
      <w:pPr>
        <w:spacing w:before="0" w:after="0" w:line="240" w:lineRule="auto" w:beforeLines="0" w:afterLines="0"/>
        <w:jc w:val="both"/>
        <w:ind w:firstLineChars="200"/>
      </w:pPr>
      <w:r>
        <w:rPr>
          <w:rFonts w:ascii="Times New Roman" w:hAnsi="Times New Roman" w:eastAsia="仿宋" w:cs="Times New Roman"/>
          <w:b w:val="0"/>
          <w:sz w:val="28"/>
        </w:rPr>
        <w:t>回到中芯国际集成电路制造与中芯北方集成电路制造，本案的方法论意义不在于把交易结果写成通用并购总结，而在于把公开资料未披露具体金额，支付方式为股份支付、收购标的：中芯北方集成电路制造（北京）有限公司49%股权；支付方式：股份支付（向交易对方发行中芯国际股份）；交易后持股：标的公司成为中芯国际直接及间接持股的全资子公司；独立财务顾问：国泰海通证券股份有限公司、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中芯国际集成电路制造而言，关键是交割承接和整合节奏能否与已披露安排匹配；对中芯北方集成电路制造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