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仇建平收购杭州巨星科技：要约与控制权安排</w:t>
      </w:r>
    </w:p>
    <w:p>
      <w:pPr>
        <w:spacing w:before="0" w:after="0" w:line="240" w:lineRule="auto" w:beforeLines="0" w:afterLines="0"/>
        <w:jc w:val="both"/>
        <w:ind w:firstLineChars="200"/>
      </w:pPr>
      <w:r>
        <w:rPr>
          <w:rFonts w:ascii="Times New Roman" w:hAnsi="Times New Roman" w:eastAsia="仿宋" w:cs="Times New Roman"/>
          <w:b w:val="0"/>
          <w:sz w:val="28"/>
        </w:rPr>
        <w:t>本案例涉及仇建平（下称</w:t>
      </w:r>
      <w:r>
        <w:rPr>
          <w:rFonts w:ascii="Times New Roman" w:hAnsi="Times New Roman" w:eastAsia="Times New Roman" w:cs="Times New Roman"/>
          <w:b w:val="0"/>
          <w:sz w:val="28"/>
        </w:rPr>
        <w:t>“</w:t>
      </w:r>
      <w:r>
        <w:rPr>
          <w:rFonts w:ascii="Times New Roman" w:hAnsi="Times New Roman" w:eastAsia="仿宋" w:cs="Times New Roman"/>
          <w:b w:val="0"/>
          <w:sz w:val="28"/>
        </w:rPr>
        <w:t>仇建平</w:t>
      </w:r>
      <w:r>
        <w:rPr>
          <w:rFonts w:ascii="Times New Roman" w:hAnsi="Times New Roman" w:eastAsia="Times New Roman" w:cs="Times New Roman"/>
          <w:b w:val="0"/>
          <w:sz w:val="28"/>
        </w:rPr>
        <w:t>”</w:t>
      </w:r>
      <w:r>
        <w:rPr>
          <w:rFonts w:ascii="Times New Roman" w:hAnsi="Times New Roman" w:eastAsia="仿宋" w:cs="Times New Roman"/>
          <w:b w:val="0"/>
          <w:sz w:val="28"/>
        </w:rPr>
        <w:t>）收购杭州巨星科技股份有限公司（下称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杭州巨星科技</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杭州巨星科技股份有限公司收购报告书，目标线索为增强对上市公司的控制权，推动公司战略发展。2026年6月，杭州巨星科技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巨星科技</w:t>
      </w:r>
      <w:r>
        <w:rPr>
          <w:rFonts w:ascii="Times New Roman" w:hAnsi="Times New Roman" w:eastAsia="Times New Roman" w:cs="Times New Roman"/>
          <w:b w:val="0"/>
          <w:sz w:val="28"/>
        </w:rPr>
        <w:t>”</w:t>
      </w:r>
      <w:r>
        <w:rPr>
          <w:rFonts w:ascii="Times New Roman" w:hAnsi="Times New Roman" w:eastAsia="仿宋" w:cs="Times New Roman"/>
          <w:b w:val="0"/>
          <w:sz w:val="28"/>
        </w:rPr>
        <w:t>，002444）实际控制人仇建平（下称</w:t>
      </w:r>
      <w:r>
        <w:rPr>
          <w:rFonts w:ascii="Times New Roman" w:hAnsi="Times New Roman" w:eastAsia="Times New Roman" w:cs="Times New Roman"/>
          <w:b w:val="0"/>
          <w:sz w:val="28"/>
        </w:rPr>
        <w:t>“</w:t>
      </w:r>
      <w:r>
        <w:rPr>
          <w:rFonts w:ascii="Times New Roman" w:hAnsi="Times New Roman" w:eastAsia="仿宋" w:cs="Times New Roman"/>
          <w:b w:val="0"/>
          <w:sz w:val="28"/>
        </w:rPr>
        <w:t>仇建平</w:t>
      </w:r>
      <w:r>
        <w:rPr>
          <w:rFonts w:ascii="Times New Roman" w:hAnsi="Times New Roman" w:eastAsia="Times New Roman" w:cs="Times New Roman"/>
          <w:b w:val="0"/>
          <w:sz w:val="28"/>
        </w:rPr>
        <w:t>”</w:t>
      </w:r>
      <w:r>
        <w:rPr>
          <w:rFonts w:ascii="Times New Roman" w:hAnsi="Times New Roman" w:eastAsia="仿宋" w:cs="Times New Roman"/>
          <w:b w:val="0"/>
          <w:sz w:val="28"/>
        </w:rPr>
        <w:t>）签署收购报告书，通过大宗交易方式受让控股股东巨星控股集团有限公司（下称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巨星控股</w:t>
      </w:r>
      <w:r>
        <w:rPr>
          <w:rFonts w:ascii="Times New Roman" w:hAnsi="Times New Roman" w:eastAsia="Times New Roman" w:cs="Times New Roman"/>
          <w:b w:val="0"/>
          <w:sz w:val="28"/>
        </w:rPr>
        <w:t>”</w:t>
      </w:r>
      <w:r>
        <w:rPr>
          <w:rFonts w:ascii="Times New Roman" w:hAnsi="Times New Roman" w:eastAsia="仿宋" w:cs="Times New Roman"/>
          <w:b w:val="0"/>
          <w:sz w:val="28"/>
        </w:rPr>
        <w:t>）持有的350万股无限售条件流通股，占公司总股本的0.29%。交易完成后仇建平及其一致行动人合计持股突破30%，触发全面要约收购义务。本次增持规模虽小，却精准展现了实际控制人巩固控制权时必须面对的核心矛盾：如何利用大宗交易的高效通道实现内部股权归集，又如何应对因跨越权益比例红线而被动产生的合规义务。</w:t>
      </w:r>
    </w:p>
    <w:p>
      <w:pPr>
        <w:spacing w:before="0" w:after="0" w:line="240" w:lineRule="auto" w:beforeLines="0" w:afterLines="0"/>
        <w:jc w:val="left"/>
        <w:ind w:firstLineChars="200"/>
      </w:pPr>
      <w:r>
        <w:rPr>
          <w:rFonts w:ascii="Times New Roman" w:hAnsi="Times New Roman" w:eastAsia="仿宋" w:cs="Times New Roman"/>
          <w:b/>
          <w:sz w:val="28"/>
        </w:rPr>
        <w:t>一、交易前控制权架构：巨星控股主导下的间接控制链条</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杭州巨星科技股份有限公司收购报告书上市公司名称：杭州巨星科技股份有限公司股票上市地点：深圳证券交易所股票简称：巨星科技股票代码：002444. - 五、本次交易后，收购人仇建平先生及其一致行动人拥有权益的股份超过上市公司已发行股份的30%，触发收购人的要约收购义务。；时间线包括2026年6月签署收购报告书；本次收购前，巨星科技的控制权通过多层主体实现。仇建平持有巨星控股85.71%的股权，为巨星控股实际控制人；王玲玲作为一致行动人，与仇建平共同构成巨星控股的控制核心。</w:t>
      </w:r>
    </w:p>
    <w:p>
      <w:pPr>
        <w:spacing w:before="0" w:after="0" w:line="240" w:lineRule="auto" w:beforeLines="0" w:afterLines="0"/>
        <w:jc w:val="both"/>
        <w:ind w:firstLineChars="200"/>
      </w:pPr>
      <w:r>
        <w:rPr>
          <w:rFonts w:ascii="Times New Roman" w:hAnsi="Times New Roman" w:eastAsia="仿宋" w:cs="Times New Roman"/>
          <w:b w:val="0"/>
          <w:sz w:val="28"/>
        </w:rPr>
        <w:t>巨星控股是仇建平产业版图的核心投资平台，截至2025年12月31日，单体总资产达366,334万元（约36.6亿元），具备较强资金实力。除巨星科技外，仇建平还通过巨星控股控制杭叉集团股份有限公司（603298）、中策橡胶集团股份有限公司、浙江新柴股份有限公司（301032）等多家上市公司或大型企业，业务横跨工具、叉车、轮胎与柴油发动机等领域。巨星科技是其中唯；间接控制虽可满足日常决策需求，但在面临股东投票或重大资产重组等场景时，层级过多可能增加协调成本。将部分股份从巨星控股平移至仇建平名下，实质是将间接持股转化为直接持股，在保持最终实际控制人不变的前提下，强化了本人持有的表决权比例，为上市公司的快速决策提供更直接的权力基础。收购报告书披露，本次交易目的为</w:t>
      </w:r>
      <w:r>
        <w:rPr>
          <w:rFonts w:ascii="Times New Roman" w:hAnsi="Times New Roman" w:eastAsia="Times New Roman" w:cs="Times New Roman"/>
          <w:b w:val="0"/>
          <w:sz w:val="28"/>
        </w:rPr>
        <w:t>“</w:t>
      </w:r>
      <w:r>
        <w:rPr>
          <w:rFonts w:ascii="Times New Roman" w:hAnsi="Times New Roman" w:eastAsia="仿宋" w:cs="Times New Roman"/>
          <w:b w:val="0"/>
          <w:sz w:val="28"/>
        </w:rPr>
        <w:t>增强对上市公司的控制权，推动公司战略发展</w:t>
      </w:r>
      <w:r>
        <w:rPr>
          <w:rFonts w:ascii="Times New Roman" w:hAnsi="Times New Roman" w:eastAsia="Times New Roman" w:cs="Times New Roman"/>
          <w:b w:val="0"/>
          <w:sz w:val="28"/>
        </w:rPr>
        <w:t>”</w:t>
      </w:r>
      <w:r>
        <w:rPr>
          <w:rFonts w:ascii="Times New Roman" w:hAnsi="Times New Roman" w:eastAsia="仿宋" w:cs="Times New Roman"/>
          <w:b w:val="0"/>
          <w:sz w:val="28"/>
        </w:rPr>
        <w:t>，虽未详述战略内。</w:t>
      </w:r>
    </w:p>
    <w:p>
      <w:pPr>
        <w:spacing w:before="0" w:after="0" w:line="240" w:lineRule="auto" w:beforeLines="0" w:afterLines="0"/>
        <w:jc w:val="left"/>
        <w:ind w:firstLineChars="200"/>
      </w:pPr>
      <w:r>
        <w:rPr>
          <w:rFonts w:ascii="Times New Roman" w:hAnsi="Times New Roman" w:eastAsia="仿宋" w:cs="Times New Roman"/>
          <w:b/>
          <w:sz w:val="28"/>
        </w:rPr>
        <w:t>二、大宗交易增持：关联方内部调整的合规与效率平衡</w:t>
      </w:r>
    </w:p>
    <w:p>
      <w:pPr>
        <w:spacing w:before="0" w:after="0" w:line="240" w:lineRule="auto" w:beforeLines="0" w:afterLines="0"/>
        <w:jc w:val="both"/>
        <w:ind w:firstLineChars="200"/>
      </w:pPr>
      <w:r>
        <w:rPr>
          <w:rFonts w:ascii="Times New Roman" w:hAnsi="Times New Roman" w:eastAsia="仿宋" w:cs="Times New Roman"/>
          <w:b w:val="0"/>
          <w:sz w:val="28"/>
        </w:rPr>
        <w:t>本次增持选取大宗交易而非二级市场竞价或协议转让，是基于交易规模、市场影响与合规成本的综合考量。大宗交易允许双方在当日涨跌幅限制内协商确定价格，一次性完成交收，对外部股价扰动远小于持续竞价买入，特别适合实际控制人不愿引发市场异动的场景。巨星控股将350万股（占总股本0.29%）转让给仇建平，双方同属一个实际控制人，股份转让实质是同一控制关系下的内部划转，最终受。</w:t>
      </w:r>
    </w:p>
    <w:p>
      <w:pPr>
        <w:spacing w:before="0" w:after="0" w:line="240" w:lineRule="auto" w:beforeLines="0" w:afterLines="0"/>
        <w:jc w:val="both"/>
        <w:ind w:firstLineChars="200"/>
      </w:pPr>
      <w:r>
        <w:rPr>
          <w:rFonts w:ascii="Times New Roman" w:hAnsi="Times New Roman" w:eastAsia="仿宋" w:cs="Times New Roman"/>
          <w:b w:val="0"/>
          <w:sz w:val="28"/>
        </w:rPr>
        <w:t>公开资料未披露本次转让的具体金额、定价依据及支付安排，但结合巨星控股单体报表财务体量及转让规模极小，资金压力完全可控，并非本次交易的决策重心。卖方接受转让的客观机制更为关键：巨星控股由仇建平持有85.71%股权，其董事会多数成员与上市公司重合，转让决策本质上由仇建平本人主导，不涉及对外谈判或利益博弈。因此，交易条件完全服从于控制权集中的总目标，对价更多体现为。</w:t>
      </w:r>
    </w:p>
    <w:p>
      <w:pPr>
        <w:spacing w:before="0" w:after="0" w:line="240" w:lineRule="auto" w:beforeLines="0" w:afterLines="0"/>
        <w:jc w:val="both"/>
        <w:ind w:firstLineChars="200"/>
      </w:pPr>
      <w:r>
        <w:rPr>
          <w:rFonts w:ascii="Times New Roman" w:hAnsi="Times New Roman" w:eastAsia="仿宋" w:cs="Times New Roman"/>
          <w:b w:val="0"/>
          <w:sz w:val="28"/>
        </w:rPr>
        <w:t>从并购方法论角度，此类</w:t>
      </w:r>
      <w:r>
        <w:rPr>
          <w:rFonts w:ascii="Times New Roman" w:hAnsi="Times New Roman" w:eastAsia="Times New Roman" w:cs="Times New Roman"/>
          <w:b w:val="0"/>
          <w:sz w:val="28"/>
        </w:rPr>
        <w:t>“</w:t>
      </w:r>
      <w:r>
        <w:rPr>
          <w:rFonts w:ascii="Times New Roman" w:hAnsi="Times New Roman" w:eastAsia="仿宋" w:cs="Times New Roman"/>
          <w:b w:val="0"/>
          <w:sz w:val="28"/>
        </w:rPr>
        <w:t>小额精准增持</w:t>
      </w:r>
      <w:r>
        <w:rPr>
          <w:rFonts w:ascii="Times New Roman" w:hAnsi="Times New Roman" w:eastAsia="Times New Roman" w:cs="Times New Roman"/>
          <w:b w:val="0"/>
          <w:sz w:val="28"/>
        </w:rPr>
        <w:t>”</w:t>
      </w:r>
      <w:r>
        <w:rPr>
          <w:rFonts w:ascii="Times New Roman" w:hAnsi="Times New Roman" w:eastAsia="仿宋" w:cs="Times New Roman"/>
          <w:b w:val="0"/>
          <w:sz w:val="28"/>
        </w:rPr>
        <w:t>往往承载超出金额本身的治理意图：它向市场传递了实际控制人持续看好的信号，同时以最小成本完成表决权的结构性强化。巨星科技案例进一步说明，当转让发生在同一控制下的关联方之间时，大宗交易的适用性尤佳，因其能同时满足效率、合规与市场平稳的要求。</w:t>
      </w:r>
    </w:p>
    <w:p>
      <w:pPr>
        <w:spacing w:before="0" w:after="0" w:line="240" w:lineRule="auto" w:beforeLines="0" w:afterLines="0"/>
        <w:jc w:val="left"/>
        <w:ind w:firstLineChars="200"/>
      </w:pPr>
      <w:r>
        <w:rPr>
          <w:rFonts w:ascii="Times New Roman" w:hAnsi="Times New Roman" w:eastAsia="仿宋" w:cs="Times New Roman"/>
          <w:b/>
          <w:sz w:val="28"/>
        </w:rPr>
        <w:t>三、触发要约义务后的豁免路径与合规节奏</w:t>
      </w:r>
    </w:p>
    <w:p>
      <w:pPr>
        <w:spacing w:before="0" w:after="0" w:line="240" w:lineRule="auto" w:beforeLines="0" w:afterLines="0"/>
        <w:jc w:val="both"/>
        <w:ind w:firstLineChars="200"/>
      </w:pPr>
      <w:r>
        <w:rPr>
          <w:rFonts w:ascii="Times New Roman" w:hAnsi="Times New Roman" w:eastAsia="仿宋" w:cs="Times New Roman"/>
          <w:b w:val="0"/>
          <w:sz w:val="28"/>
        </w:rPr>
        <w:t>《上市公司收购管理办法》规定，投资者持有上市公司股份达到30%后继续收购的，应向所有股东发出全面要约。本次交易后，仇建平及其一致行动人合计持股越过30%红线，必然触发全面要约义务，收购报告书已就此作明确提示。但截至报告书签署日，公开文件未进一步披露是否已申请豁免或拟发出要约。这一信息披露节奏具有典型的阶段化特征：先完成增持的权益变动告知，履行初步披露义务，待监管沟通形成结论后再行公告豁免结果或要约安排，避免过早扰动市场预期。</w:t>
      </w:r>
    </w:p>
    <w:p>
      <w:pPr>
        <w:spacing w:before="0" w:after="0" w:line="240" w:lineRule="auto" w:beforeLines="0" w:afterLines="0"/>
        <w:jc w:val="both"/>
        <w:ind w:firstLineChars="200"/>
      </w:pPr>
      <w:r>
        <w:rPr>
          <w:rFonts w:ascii="Times New Roman" w:hAnsi="Times New Roman" w:eastAsia="仿宋" w:cs="Times New Roman"/>
          <w:b w:val="0"/>
          <w:sz w:val="28"/>
        </w:rPr>
        <w:t>根据《收购管理办法》第六十二条第一项，收购人与出让人能够证明本次股份转让系在同一实际控制人控制的不同主体之间进行、未导致上市公司实际控制人发生变化的，可免于以要约方式增持股份。本案中，仇建平与巨星控股均为仇建平本人所控制，转让前后实际控制人均未变化，完全符合豁免条件。若申请豁免，需由财务顾问与律师事务所出具专业意见，证实</w:t>
      </w:r>
      <w:r>
        <w:rPr>
          <w:rFonts w:ascii="Times New Roman" w:hAnsi="Times New Roman" w:eastAsia="Times New Roman" w:cs="Times New Roman"/>
          <w:b w:val="0"/>
          <w:sz w:val="28"/>
        </w:rPr>
        <w:t>“</w:t>
      </w:r>
      <w:r>
        <w:rPr>
          <w:rFonts w:ascii="Times New Roman" w:hAnsi="Times New Roman" w:eastAsia="仿宋" w:cs="Times New Roman"/>
          <w:b w:val="0"/>
          <w:sz w:val="28"/>
        </w:rPr>
        <w:t>同一控制</w:t>
      </w:r>
      <w:r>
        <w:rPr>
          <w:rFonts w:ascii="Times New Roman" w:hAnsi="Times New Roman" w:eastAsia="Times New Roman" w:cs="Times New Roman"/>
          <w:b w:val="0"/>
          <w:sz w:val="28"/>
        </w:rPr>
        <w:t>”</w:t>
      </w:r>
      <w:r>
        <w:rPr>
          <w:rFonts w:ascii="Times New Roman" w:hAnsi="Times New Roman" w:eastAsia="仿宋" w:cs="Times New Roman"/>
          <w:b w:val="0"/>
          <w:sz w:val="28"/>
        </w:rPr>
        <w:t>事实，并提交中国证监会。从。</w:t>
      </w:r>
    </w:p>
    <w:p>
      <w:pPr>
        <w:spacing w:before="0" w:after="0" w:line="240" w:lineRule="auto" w:beforeLines="0" w:afterLines="0"/>
        <w:jc w:val="both"/>
        <w:ind w:firstLineChars="200"/>
      </w:pPr>
      <w:r>
        <w:rPr>
          <w:rFonts w:ascii="Times New Roman" w:hAnsi="Times New Roman" w:eastAsia="仿宋" w:cs="Times New Roman"/>
          <w:b w:val="0"/>
          <w:sz w:val="28"/>
        </w:rPr>
        <w:t>公开披露的缺口并不意味着合规风险，恰反映了实际控制人增持触发30%红线后的标准处理流程：收购报告书先履行增持事实的披露，豁免申请作为后续独立事项另行公告。对于外部观察者，最紧要的不是判断豁免结果，而是验证</w:t>
      </w:r>
      <w:r>
        <w:rPr>
          <w:rFonts w:ascii="Times New Roman" w:hAnsi="Times New Roman" w:eastAsia="Times New Roman" w:cs="Times New Roman"/>
          <w:b w:val="0"/>
          <w:sz w:val="28"/>
        </w:rPr>
        <w:t>“</w:t>
      </w:r>
      <w:r>
        <w:rPr>
          <w:rFonts w:ascii="Times New Roman" w:hAnsi="Times New Roman" w:eastAsia="仿宋" w:cs="Times New Roman"/>
          <w:b w:val="0"/>
          <w:sz w:val="28"/>
        </w:rPr>
        <w:t>未导致实际控制人变化</w:t>
      </w:r>
      <w:r>
        <w:rPr>
          <w:rFonts w:ascii="Times New Roman" w:hAnsi="Times New Roman" w:eastAsia="Times New Roman" w:cs="Times New Roman"/>
          <w:b w:val="0"/>
          <w:sz w:val="28"/>
        </w:rPr>
        <w:t>”</w:t>
      </w:r>
      <w:r>
        <w:rPr>
          <w:rFonts w:ascii="Times New Roman" w:hAnsi="Times New Roman" w:eastAsia="仿宋" w:cs="Times New Roman"/>
          <w:b w:val="0"/>
          <w:sz w:val="28"/>
        </w:rPr>
        <w:t>这一核心事实的清晰度与证据链完备性。巨星科技的控制权结构一贯稳定，仅0.29%的变动更不构成控制权转移，豁免基础坚实。</w:t>
      </w:r>
    </w:p>
    <w:p>
      <w:pPr>
        <w:spacing w:before="0" w:after="0" w:line="240" w:lineRule="auto" w:beforeLines="0" w:afterLines="0"/>
        <w:jc w:val="left"/>
        <w:ind w:firstLineChars="200"/>
      </w:pPr>
      <w:r>
        <w:rPr>
          <w:rFonts w:ascii="Times New Roman" w:hAnsi="Times New Roman" w:eastAsia="仿宋" w:cs="Times New Roman"/>
          <w:b/>
          <w:sz w:val="28"/>
        </w:rPr>
        <w:t>四、增持的治理含义与产业稳定效应</w:t>
      </w:r>
    </w:p>
    <w:p>
      <w:pPr>
        <w:spacing w:before="0" w:after="0" w:line="240" w:lineRule="auto" w:beforeLines="0" w:afterLines="0"/>
        <w:jc w:val="both"/>
        <w:ind w:firstLineChars="200"/>
      </w:pPr>
      <w:r>
        <w:rPr>
          <w:rFonts w:ascii="Times New Roman" w:hAnsi="Times New Roman" w:eastAsia="仿宋" w:cs="Times New Roman"/>
          <w:b w:val="0"/>
          <w:sz w:val="28"/>
        </w:rPr>
        <w:t>增持完成后，仇建平及其一致行动人合计持股超过30%，形成绝对控制力。在工具制造这一竞争充分、需求周期性波动的行业中，集中控制权有利于减少因股权分散导致的决策僵局，提升战略响应速度。巨星科技董事会多数成员同时存在于巨星控股与上市公司，控制权的进一步集中可降低跨层级沟通摩擦，使产能调配、研发投入、跨境并购等重大决策的推进更为顺畅。收购报告书披露，收购人及其一致行动人最近5年无行政处罚或重大民事诉讼，合规记录良好，为后续治理提供了信用基础。</w:t>
      </w:r>
    </w:p>
    <w:p>
      <w:pPr>
        <w:spacing w:before="0" w:after="0" w:line="240" w:lineRule="auto" w:beforeLines="0" w:afterLines="0"/>
        <w:jc w:val="both"/>
        <w:ind w:firstLineChars="200"/>
      </w:pPr>
      <w:r>
        <w:rPr>
          <w:rFonts w:ascii="Times New Roman" w:hAnsi="Times New Roman" w:eastAsia="仿宋" w:cs="Times New Roman"/>
          <w:b w:val="0"/>
          <w:sz w:val="28"/>
        </w:rPr>
        <w:t>但控制权高度集中天然需要配套的治理制衡。在股权层面制衡弱化后，上市公司决策的公平性更多依赖独立董事的独立判断、关联交易规则的严格执行与监管机构的事后监督。本次增持虽规模微小，却将持股比例推至权威控制线之上，使得任何与巨星控股之间的关联交易都可能面临更严格的市场审视。增持后中小股东权益保护能否落到实处，取决于董事会独立性、信息披露质量与监管约束的有效性，而非控制权集中度本身。</w:t>
      </w:r>
    </w:p>
    <w:p>
      <w:pPr>
        <w:spacing w:before="0" w:after="0" w:line="240" w:lineRule="auto" w:beforeLines="0" w:afterLines="0"/>
        <w:jc w:val="both"/>
        <w:ind w:firstLineChars="200"/>
      </w:pPr>
      <w:r>
        <w:rPr>
          <w:rFonts w:ascii="Times New Roman" w:hAnsi="Times New Roman" w:eastAsia="仿宋" w:cs="Times New Roman"/>
          <w:b w:val="0"/>
          <w:sz w:val="28"/>
        </w:rPr>
        <w:t>从产业判断角度看，实际控制人增持在提升控制力的同时，也向市场释放出</w:t>
      </w:r>
      <w:r>
        <w:rPr>
          <w:rFonts w:ascii="Times New Roman" w:hAnsi="Times New Roman" w:eastAsia="Times New Roman" w:cs="Times New Roman"/>
          <w:b w:val="0"/>
          <w:sz w:val="28"/>
        </w:rPr>
        <w:t>“</w:t>
      </w:r>
      <w:r>
        <w:rPr>
          <w:rFonts w:ascii="Times New Roman" w:hAnsi="Times New Roman" w:eastAsia="仿宋" w:cs="Times New Roman"/>
          <w:b w:val="0"/>
          <w:sz w:val="28"/>
        </w:rPr>
        <w:t>控制权无外部争夺风险、长期战略稳定</w:t>
      </w:r>
      <w:r>
        <w:rPr>
          <w:rFonts w:ascii="Times New Roman" w:hAnsi="Times New Roman" w:eastAsia="Times New Roman" w:cs="Times New Roman"/>
          <w:b w:val="0"/>
          <w:sz w:val="28"/>
        </w:rPr>
        <w:t>”</w:t>
      </w:r>
      <w:r>
        <w:rPr>
          <w:rFonts w:ascii="Times New Roman" w:hAnsi="Times New Roman" w:eastAsia="仿宋" w:cs="Times New Roman"/>
          <w:b w:val="0"/>
          <w:sz w:val="28"/>
        </w:rPr>
        <w:t>的信号，这对稳定机构投资者预期、降低融资成本具有正面价值。巨星科技作为仇建平工业品矩阵中唯一的工具上市平台，控制权的稳定性直接影响后续产业整合的资本运作空间，本次增持以最小成本加固了战略锚点地位。</w:t>
      </w:r>
    </w:p>
    <w:p>
      <w:pPr>
        <w:spacing w:before="0" w:after="0" w:line="240" w:lineRule="auto" w:beforeLines="0" w:afterLines="0"/>
        <w:jc w:val="left"/>
        <w:ind w:firstLineChars="200"/>
      </w:pPr>
      <w:r>
        <w:rPr>
          <w:rFonts w:ascii="Times New Roman" w:hAnsi="Times New Roman" w:eastAsia="仿宋" w:cs="Times New Roman"/>
          <w:b/>
          <w:sz w:val="28"/>
        </w:rPr>
        <w:t>五、结语：要约与控制权安排的核验方法</w:t>
      </w:r>
    </w:p>
    <w:p>
      <w:pPr>
        <w:spacing w:before="0" w:after="0" w:line="240" w:lineRule="auto" w:beforeLines="0" w:afterLines="0"/>
        <w:jc w:val="both"/>
        <w:ind w:firstLineChars="200"/>
      </w:pPr>
      <w:r>
        <w:rPr>
          <w:rFonts w:ascii="Times New Roman" w:hAnsi="Times New Roman" w:eastAsia="仿宋" w:cs="Times New Roman"/>
          <w:b w:val="0"/>
          <w:sz w:val="28"/>
        </w:rPr>
        <w:t>仇建平通过大宗交易受让巨星控股350万股、令整体持股突破30%并触发要约义务的案例，体现了实控人巩固控制权操作中的高度精确性。交易本质是将间接持股部分转化为直接持股，以强化表决权、提升决策效率，同时借助同一控制下转让的豁免机制，规避全面要约的资金压力。这一结构兼具效率与合规考量，为上市公司实际控制人小额增持提供了标准执行范式：启动前必须精确计算当前持股与一致行动人合计的精确数值，明确增持后是否跨越30%红线；若不可避免，应同步准备豁免申请材料，并在收购报告书中初步揭示豁免意图，避免被动。</w:t>
      </w:r>
    </w:p>
    <w:p>
      <w:pPr>
        <w:spacing w:before="0" w:after="0" w:line="240" w:lineRule="auto" w:beforeLines="0" w:afterLines="0"/>
        <w:jc w:val="both"/>
        <w:ind w:firstLineChars="200"/>
      </w:pPr>
      <w:r>
        <w:rPr>
          <w:rFonts w:ascii="Times New Roman" w:hAnsi="Times New Roman" w:eastAsia="仿宋" w:cs="Times New Roman"/>
          <w:b w:val="0"/>
          <w:sz w:val="28"/>
        </w:rPr>
        <w:t>在并购方法论上，本案强调了控制权内部调整中财务顾问与法律顾问协同的前置性。增持比例虽微，合规链条不能省略：财务顾问需对豁免条件进行预判，律师需就同一控制事实出具法律意见，上市公司需提前规划信息披露的节奏与内容。只有在交易设计之初就将合规路径嵌入方案，才能确保小额增持不会因触发要约而陷入被动，真正成为低冲击、高确定性的控制权优化交易。</w:t>
      </w:r>
    </w:p>
    <w:p>
      <w:pPr>
        <w:spacing w:before="0" w:after="0" w:line="240" w:lineRule="auto" w:beforeLines="0" w:afterLines="0"/>
        <w:jc w:val="both"/>
        <w:ind w:firstLineChars="200"/>
      </w:pPr>
      <w:r>
        <w:rPr>
          <w:rFonts w:ascii="Times New Roman" w:hAnsi="Times New Roman" w:eastAsia="仿宋" w:cs="Times New Roman"/>
          <w:b w:val="0"/>
          <w:sz w:val="28"/>
        </w:rPr>
        <w:t>回到仇建平与巨星科技本身，本案的方法论意义在于将股份受让数量、持股比例跨越30%、要约义务触发以及</w:t>
      </w:r>
      <w:r>
        <w:rPr>
          <w:rFonts w:ascii="Times New Roman" w:hAnsi="Times New Roman" w:eastAsia="Times New Roman" w:cs="Times New Roman"/>
          <w:b w:val="0"/>
          <w:sz w:val="28"/>
        </w:rPr>
        <w:t>“</w:t>
      </w:r>
      <w:r>
        <w:rPr>
          <w:rFonts w:ascii="Times New Roman" w:hAnsi="Times New Roman" w:eastAsia="仿宋" w:cs="Times New Roman"/>
          <w:b w:val="0"/>
          <w:sz w:val="28"/>
        </w:rPr>
        <w:t>同一控制</w:t>
      </w:r>
      <w:r>
        <w:rPr>
          <w:rFonts w:ascii="Times New Roman" w:hAnsi="Times New Roman" w:eastAsia="Times New Roman" w:cs="Times New Roman"/>
          <w:b w:val="0"/>
          <w:sz w:val="28"/>
        </w:rPr>
        <w:t>”</w:t>
      </w:r>
      <w:r>
        <w:rPr>
          <w:rFonts w:ascii="Times New Roman" w:hAnsi="Times New Roman" w:eastAsia="仿宋" w:cs="Times New Roman"/>
          <w:b w:val="0"/>
          <w:sz w:val="28"/>
        </w:rPr>
        <w:t>下的豁免条件放在同一披露链条中核验。对于同类交易，首先应确认信息披露是否足以支撑股权比例变动与治理边界判断；其次应将增持主体置于产业矩阵中评估其战略惯性；最后才评估财务影响。仇建平的增持操作以微小股权变动实现控制权结构性强化，且在合规框架内留有豁免出口，为实际控制人内部股权归集提供了清晰参照。</w:t>
      </w:r>
    </w:p>
    <w:p>
      <w:pPr>
        <w:spacing w:before="0" w:after="0" w:line="240" w:lineRule="auto" w:beforeLines="0" w:afterLines="0"/>
        <w:jc w:val="both"/>
        <w:ind w:firstLineChars="200"/>
      </w:pPr>
      <w:r>
        <w:rPr>
          <w:rFonts w:ascii="Times New Roman" w:hAnsi="Times New Roman" w:eastAsia="仿宋" w:cs="Times New Roman"/>
          <w:b w:val="0"/>
          <w:sz w:val="28"/>
        </w:rPr>
        <w:t>回到仇建平与杭州巨星科技，本案的方法论意义不在于把交易结果写成通用并购总结，而在于把杭州巨星科技股份有限公司收购报告书上市公司名称：杭州巨星科技股份有限公司股票上市地点：深圳证券交易所股票简称：巨星科技股票代码：002444. - 五、本次交易后，收购人仇建平先生及其一致行动人拥有权益的股份超过上市公司已发行股份的30%，触发收购人的要约收购义务。、350万股（无限售条件流通股）；占总股本比例约0.29%；触发30%要约收购义务；选题理由：2026年已完成收购，收购方仇建平是明星企业家，交易结构典型，属于上市公司控股权并购案例、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仇建平而言，关键是交割承接和整合节奏能否与已披露安排匹配；对杭州巨星科技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