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beforeLines="0" w:afterLines="0"/>
        <w:jc w:val="center"/>
        <w:ind/>
      </w:pPr>
      <w:r>
        <w:rPr>
          <w:rFonts w:ascii="Times New Roman" w:hAnsi="Times New Roman" w:eastAsia="黑体" w:cs="Times New Roman"/>
          <w:b w:val="0"/>
          <w:sz w:val="30"/>
        </w:rPr>
        <w:t>广州延丰数字科技收购浙江步森服饰：控制权与治理安排</w:t>
      </w:r>
    </w:p>
    <w:p>
      <w:pPr>
        <w:spacing w:before="0" w:after="0" w:line="240" w:lineRule="auto" w:beforeLines="0" w:afterLines="0"/>
        <w:jc w:val="both"/>
        <w:ind w:firstLineChars="200"/>
      </w:pPr>
      <w:r>
        <w:rPr>
          <w:rFonts w:ascii="Times New Roman" w:hAnsi="Times New Roman" w:eastAsia="仿宋" w:cs="Times New Roman"/>
          <w:b w:val="0"/>
          <w:sz w:val="28"/>
        </w:rPr>
        <w:t>本案例涉及广州延丰数字科技有限公司（下称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延丰数字</w:t>
      </w:r>
      <w:r>
        <w:rPr>
          <w:rFonts w:ascii="Times New Roman" w:hAnsi="Times New Roman" w:eastAsia="Times New Roman" w:cs="Times New Roman"/>
          <w:b w:val="0"/>
          <w:sz w:val="28"/>
        </w:rPr>
        <w:t>”</w:t>
      </w:r>
      <w:r>
        <w:rPr>
          <w:rFonts w:ascii="Times New Roman" w:hAnsi="Times New Roman" w:eastAsia="仿宋" w:cs="Times New Roman"/>
          <w:b w:val="0"/>
          <w:sz w:val="28"/>
        </w:rPr>
        <w:t>）受让浙江步森服饰股份有限公司（下称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*ST步森</w:t>
      </w:r>
      <w:r>
        <w:rPr>
          <w:rFonts w:ascii="Times New Roman" w:hAnsi="Times New Roman" w:eastAsia="Times New Roman" w:cs="Times New Roman"/>
          <w:b w:val="0"/>
          <w:sz w:val="28"/>
        </w:rPr>
        <w:t>”</w:t>
      </w:r>
      <w:r>
        <w:rPr>
          <w:rFonts w:ascii="Times New Roman" w:hAnsi="Times New Roman" w:eastAsia="仿宋" w:cs="Times New Roman"/>
          <w:b w:val="0"/>
          <w:sz w:val="28"/>
        </w:rPr>
        <w:t>，002569）控制权。交易前，*ST步森因服饰主业经营持续未达预期，被实施退市风险警示，股权高度分散，原控股股东宝鸡方维同创企业管理合伙企业（有限合伙）（下称</w:t>
      </w:r>
      <w:r>
        <w:rPr>
          <w:rFonts w:ascii="Times New Roman" w:hAnsi="Times New Roman" w:eastAsia="Times New Roman" w:cs="Times New Roman"/>
          <w:b w:val="0"/>
          <w:sz w:val="28"/>
        </w:rPr>
        <w:t>“</w:t>
      </w:r>
      <w:r>
        <w:rPr>
          <w:rFonts w:ascii="Times New Roman" w:hAnsi="Times New Roman" w:eastAsia="仿宋" w:cs="Times New Roman"/>
          <w:b w:val="0"/>
          <w:sz w:val="28"/>
        </w:rPr>
        <w:t>方维同创</w:t>
      </w:r>
      <w:r>
        <w:rPr>
          <w:rFonts w:ascii="Times New Roman" w:hAnsi="Times New Roman" w:eastAsia="Times New Roman" w:cs="Times New Roman"/>
          <w:b w:val="0"/>
          <w:sz w:val="28"/>
        </w:rPr>
        <w:t>”</w:t>
      </w:r>
      <w:r>
        <w:rPr>
          <w:rFonts w:ascii="Times New Roman" w:hAnsi="Times New Roman" w:eastAsia="仿宋" w:cs="Times New Roman"/>
          <w:b w:val="0"/>
          <w:sz w:val="28"/>
        </w:rPr>
        <w:t>）以14.81%的持股比例保持控制。2026年3月20日，方维同创与延丰数字签署《股份转让协议》，约定将21,333,760股无限售流通股以每股14.136元、总价款5,618.67万元转让，该协议经宝鸡市财政局确认批复（2026年6月1日）及深圳证券交易所合规确认（2026年6月9日）后，于2026年6月17日完成过户，上市公司控股股东变更为延丰数字，实际控制人变更为王波。延丰数字成立于2025年8月18日，经营范围为软件和信息技术服务业，公开信息未显示任何经营记录，并自愿承诺60个月内不转让所受让股份。这一交易无法用产业协同或财务投资解释，而是一家新设特殊目的公司以极小代价取得退市风险警示公司控制权的典型</w:t>
      </w:r>
      <w:r>
        <w:rPr>
          <w:rFonts w:ascii="Times New Roman" w:hAnsi="Times New Roman" w:eastAsia="Times New Roman" w:cs="Times New Roman"/>
          <w:b w:val="0"/>
          <w:sz w:val="28"/>
        </w:rPr>
        <w:t>“</w:t>
      </w:r>
      <w:r>
        <w:rPr>
          <w:rFonts w:ascii="Times New Roman" w:hAnsi="Times New Roman" w:eastAsia="仿宋" w:cs="Times New Roman"/>
          <w:b w:val="0"/>
          <w:sz w:val="28"/>
        </w:rPr>
        <w:t>小比例控壳</w:t>
      </w:r>
      <w:r>
        <w:rPr>
          <w:rFonts w:ascii="Times New Roman" w:hAnsi="Times New Roman" w:eastAsia="Times New Roman" w:cs="Times New Roman"/>
          <w:b w:val="0"/>
          <w:sz w:val="28"/>
        </w:rPr>
        <w:t>”</w:t>
      </w:r>
      <w:r>
        <w:rPr>
          <w:rFonts w:ascii="Times New Roman" w:hAnsi="Times New Roman" w:eastAsia="仿宋" w:cs="Times New Roman"/>
          <w:b w:val="0"/>
          <w:sz w:val="28"/>
        </w:rPr>
        <w:t>路径。</w:t>
      </w:r>
    </w:p>
    <w:p>
      <w:pPr>
        <w:spacing w:before="0" w:after="0" w:line="240" w:lineRule="auto" w:beforeLines="0" w:afterLines="0"/>
        <w:jc w:val="left"/>
        <w:ind w:firstLineChars="200"/>
      </w:pPr>
      <w:r>
        <w:rPr>
          <w:rFonts w:ascii="Times New Roman" w:hAnsi="Times New Roman" w:eastAsia="仿宋" w:cs="Times New Roman"/>
          <w:b/>
          <w:sz w:val="28"/>
        </w:rPr>
        <w:t>一、退市警示下的控制权出让：*ST步森困境与卖方的协议退出</w:t>
      </w:r>
    </w:p>
    <w:p>
      <w:pPr>
        <w:spacing w:before="0" w:after="0" w:line="240" w:lineRule="auto" w:beforeLines="0" w:afterLines="0"/>
        <w:jc w:val="both"/>
        <w:ind w:firstLineChars="200"/>
      </w:pPr>
      <w:r>
        <w:rPr>
          <w:rFonts w:ascii="Times New Roman" w:hAnsi="Times New Roman" w:eastAsia="仿宋" w:cs="Times New Roman"/>
          <w:b w:val="0"/>
          <w:sz w:val="28"/>
        </w:rPr>
        <w:t>事实披露边界上，本案可引用的交易对价、估值或支付口径为5,618.67万元；时间线包括2026-03-20：方维同创与延丰数字签署《股份转让协议》；2026-03-21：披露《关于控股股东签署〈股份转让协议〉暨控制权拟发生变更的提示性公告》；关键数字包括21,333,760股（转让股份数）；14.81%（持股比例）；14.136元/股（转让价格）；5,618；交易前，*ST步森因经营困难，其证券简称中的</w:t>
      </w:r>
      <w:r>
        <w:rPr>
          <w:rFonts w:ascii="Times New Roman" w:hAnsi="Times New Roman" w:eastAsia="Times New Roman" w:cs="Times New Roman"/>
          <w:b w:val="0"/>
          <w:sz w:val="28"/>
        </w:rPr>
        <w:t>“</w:t>
      </w:r>
      <w:r>
        <w:rPr>
          <w:rFonts w:ascii="Times New Roman" w:hAnsi="Times New Roman" w:eastAsia="仿宋" w:cs="Times New Roman"/>
          <w:b w:val="0"/>
          <w:sz w:val="28"/>
        </w:rPr>
        <w:t>*ST</w:t>
      </w:r>
      <w:r>
        <w:rPr>
          <w:rFonts w:ascii="Times New Roman" w:hAnsi="Times New Roman" w:eastAsia="Times New Roman" w:cs="Times New Roman"/>
          <w:b w:val="0"/>
          <w:sz w:val="28"/>
        </w:rPr>
        <w:t>”</w:t>
      </w:r>
      <w:r>
        <w:rPr>
          <w:rFonts w:ascii="Times New Roman" w:hAnsi="Times New Roman" w:eastAsia="仿宋" w:cs="Times New Roman"/>
          <w:b w:val="0"/>
          <w:sz w:val="28"/>
        </w:rPr>
        <w:t>已表明连续亏损或净资产为负，面临终止上市风险。公告未直接列明具体财务数据，但该风险警示本身即构成标的公司的核心困境。原控股股东方维同创作为有限合伙平台，仅凭14.81%的持股比例即维持控制地位，反映出公司股权结构的极度分散。在退市压力下，维持上市资格需要注入新业务或获得外部资金支持，若原股东自身缺乏资产注入能力，出让控制权便成为现实选择。</w:t>
      </w:r>
    </w:p>
    <w:p>
      <w:pPr>
        <w:spacing w:before="0" w:after="0" w:line="240" w:lineRule="auto" w:beforeLines="0" w:afterLines="0"/>
        <w:jc w:val="both"/>
        <w:ind w:firstLineChars="200"/>
      </w:pPr>
      <w:r>
        <w:rPr>
          <w:rFonts w:ascii="Times New Roman" w:hAnsi="Times New Roman" w:eastAsia="仿宋" w:cs="Times New Roman"/>
          <w:b w:val="0"/>
          <w:sz w:val="28"/>
        </w:rPr>
        <w:t>2026年3月20日，方维同创与延丰数字一次性签署《股份转让协议》，将全部持股协议转让，总对价5,618.67万元。该安排避免了分笔竞价出售可能引发的股价连续下挫，保障了退市风险下卖方的有序退出。转让须履行两道前置审批：首先取得宝鸡市财政局的确认批复，其后获得深交所合规确认。宝鸡市财政局介入审批，暗示方维同创的权益可能涉及国有成分，或与地方国资存在关联，因此；卖方接受此安排的客观机制在于：14.81%的持股比例远未触及30%的强制要约收购红线，买方无需发起全面要约，大幅降低了交易复杂度与不确定性；而协议转让的定价不低于法定下限，且股份均为无限售流通股，不存在质押或冻结，合规障碍少。通过一次性转移控制权，方维同创在退市风险落地前实现退出，财政部门与交易所的双重确认则为交易程序提供了正当性背书。</w:t>
      </w:r>
    </w:p>
    <w:p>
      <w:pPr>
        <w:spacing w:before="0" w:after="0" w:line="240" w:lineRule="auto" w:beforeLines="0" w:afterLines="0"/>
        <w:jc w:val="left"/>
        <w:ind w:firstLineChars="200"/>
      </w:pPr>
      <w:r>
        <w:rPr>
          <w:rFonts w:ascii="Times New Roman" w:hAnsi="Times New Roman" w:eastAsia="仿宋" w:cs="Times New Roman"/>
          <w:b/>
          <w:sz w:val="28"/>
        </w:rPr>
        <w:t>二、空白的收购方：延丰数字的SPV属性与超长锁定期约束</w:t>
      </w:r>
    </w:p>
    <w:p>
      <w:pPr>
        <w:spacing w:before="0" w:after="0" w:line="240" w:lineRule="auto" w:beforeLines="0" w:afterLines="0"/>
        <w:jc w:val="both"/>
        <w:ind w:firstLineChars="200"/>
      </w:pPr>
      <w:r>
        <w:rPr>
          <w:rFonts w:ascii="Times New Roman" w:hAnsi="Times New Roman" w:eastAsia="仿宋" w:cs="Times New Roman"/>
          <w:b w:val="0"/>
          <w:sz w:val="28"/>
        </w:rPr>
        <w:t>收购方延丰数字在公告中呈现的画像近乎</w:t>
      </w:r>
      <w:r>
        <w:rPr>
          <w:rFonts w:ascii="Times New Roman" w:hAnsi="Times New Roman" w:eastAsia="Times New Roman" w:cs="Times New Roman"/>
          <w:b w:val="0"/>
          <w:sz w:val="28"/>
        </w:rPr>
        <w:t>“</w:t>
      </w:r>
      <w:r>
        <w:rPr>
          <w:rFonts w:ascii="Times New Roman" w:hAnsi="Times New Roman" w:eastAsia="仿宋" w:cs="Times New Roman"/>
          <w:b w:val="0"/>
          <w:sz w:val="28"/>
        </w:rPr>
        <w:t>空白</w:t>
      </w:r>
      <w:r>
        <w:rPr>
          <w:rFonts w:ascii="Times New Roman" w:hAnsi="Times New Roman" w:eastAsia="Times New Roman" w:cs="Times New Roman"/>
          <w:b w:val="0"/>
          <w:sz w:val="28"/>
        </w:rPr>
        <w:t>”</w:t>
      </w:r>
      <w:r>
        <w:rPr>
          <w:rFonts w:ascii="Times New Roman" w:hAnsi="Times New Roman" w:eastAsia="仿宋" w:cs="Times New Roman"/>
          <w:b w:val="0"/>
          <w:sz w:val="28"/>
        </w:rPr>
        <w:t>：成立于2025年8月18日，距签约仅半年有余，统一社会信用代码91440115MAETPX5C5L，经营范围是软件和信息技术服务业，但未披露注册资本、营业收入、资产规模或员工信息。实际控制人王波，身份信息仅显示为男性、中国国籍、住址河北廊坊，无更多背景展开。这种新设特殊目的公司（SPV）作为收购主体，在上市公司控制权转让中常见，其优势在于风险隔离与穿透方便，但同时也造成信息的高度不对称。</w:t>
      </w:r>
    </w:p>
    <w:p>
      <w:pPr>
        <w:spacing w:before="0" w:after="0" w:line="240" w:lineRule="auto" w:beforeLines="0" w:afterLines="0"/>
        <w:jc w:val="both"/>
        <w:ind w:firstLineChars="200"/>
      </w:pPr>
      <w:r>
        <w:rPr>
          <w:rFonts w:ascii="Times New Roman" w:hAnsi="Times New Roman" w:eastAsia="仿宋" w:cs="Times New Roman"/>
          <w:b w:val="0"/>
          <w:sz w:val="28"/>
        </w:rPr>
        <w:t>买方给出的最具实质性的条款是60个月锁定期承诺，远高于现行规则对协议转让受让方的一般锁定要求。公开资料未单独解释该超长锁定期的动机，但从监管沟通结果反推，这极公开资料显示为为取得深交所协议转让确认书而主动施加的约束，用以缓解</w:t>
      </w:r>
      <w:r>
        <w:rPr>
          <w:rFonts w:ascii="Times New Roman" w:hAnsi="Times New Roman" w:eastAsia="Times New Roman" w:cs="Times New Roman"/>
          <w:b w:val="0"/>
          <w:sz w:val="28"/>
        </w:rPr>
        <w:t>“</w:t>
      </w:r>
      <w:r>
        <w:rPr>
          <w:rFonts w:ascii="Times New Roman" w:hAnsi="Times New Roman" w:eastAsia="仿宋" w:cs="Times New Roman"/>
          <w:b w:val="0"/>
          <w:sz w:val="28"/>
        </w:rPr>
        <w:t>买壳即套利</w:t>
      </w:r>
      <w:r>
        <w:rPr>
          <w:rFonts w:ascii="Times New Roman" w:hAnsi="Times New Roman" w:eastAsia="Times New Roman" w:cs="Times New Roman"/>
          <w:b w:val="0"/>
          <w:sz w:val="28"/>
        </w:rPr>
        <w:t>”</w:t>
      </w:r>
      <w:r>
        <w:rPr>
          <w:rFonts w:ascii="Times New Roman" w:hAnsi="Times New Roman" w:eastAsia="仿宋" w:cs="Times New Roman"/>
          <w:b w:val="0"/>
          <w:sz w:val="28"/>
        </w:rPr>
        <w:t>的疑虑。从治理角度看，60个月锁定期将买方与上市公司的利益强制绑定，降低了短期炒作股价后减持出逃的风险，为中小股东提供了缓。</w:t>
      </w:r>
    </w:p>
    <w:p>
      <w:pPr>
        <w:spacing w:before="0" w:after="0" w:line="240" w:lineRule="auto" w:beforeLines="0" w:afterLines="0"/>
        <w:jc w:val="both"/>
        <w:ind w:firstLineChars="200"/>
      </w:pPr>
      <w:r>
        <w:rPr>
          <w:rFonts w:ascii="Times New Roman" w:hAnsi="Times New Roman" w:eastAsia="仿宋" w:cs="Times New Roman"/>
          <w:b w:val="0"/>
          <w:sz w:val="28"/>
        </w:rPr>
        <w:t>对卖方而言，买方锁定期越长，其所出售的控制权稳定性越高，可避免短期内二次易手引发的监管问询或声誉风险。买方则借此降低了收购的监管阻力，以低廉的初始成本获取上市平台。然而，超长锁定期也构成对买方资本运作能力的强约束——若上市公司在锁定期内未能显著改善经营或完成资产注入，延丰数字所持股份将面临减值风险。因此，这份承诺实质上是买方对自身后续运作能力的一场对赌，只是公开信息尚未披露具体规划。</w:t>
      </w:r>
    </w:p>
    <w:p>
      <w:pPr>
        <w:spacing w:before="0" w:after="0" w:line="240" w:lineRule="auto" w:beforeLines="0" w:afterLines="0"/>
        <w:jc w:val="left"/>
        <w:ind w:firstLineChars="200"/>
      </w:pPr>
      <w:r>
        <w:rPr>
          <w:rFonts w:ascii="Times New Roman" w:hAnsi="Times New Roman" w:eastAsia="仿宋" w:cs="Times New Roman"/>
          <w:b/>
          <w:sz w:val="28"/>
        </w:rPr>
        <w:t>三、14.81%持股的控制权取得：协议转让的合规路径与治理留白</w:t>
      </w:r>
    </w:p>
    <w:p>
      <w:pPr>
        <w:spacing w:before="0" w:after="0" w:line="240" w:lineRule="auto" w:beforeLines="0" w:afterLines="0"/>
        <w:jc w:val="both"/>
        <w:ind w:firstLineChars="200"/>
      </w:pPr>
      <w:r>
        <w:rPr>
          <w:rFonts w:ascii="Times New Roman" w:hAnsi="Times New Roman" w:eastAsia="仿宋" w:cs="Times New Roman"/>
          <w:b w:val="0"/>
          <w:sz w:val="28"/>
        </w:rPr>
        <w:t>本案交易结构的核心在于持股比例14.81%与协议转让方式的精妙结合。由于*ST步森股权分散，原控股股东持股比例较低，延丰数字直接协议受让该比例即获得控制权，完全规避了30%的强制要约收购线。若要约收购义务被触发，即使按每股14.136元计算，所需资金也将远超5,618.67万元，且要约流程漫长，不确定性显著增加。因此，借助低持股比例以协议转让直接取得控制权。</w:t>
      </w:r>
    </w:p>
    <w:p>
      <w:pPr>
        <w:spacing w:before="0" w:after="0" w:line="240" w:lineRule="auto" w:beforeLines="0" w:afterLines="0"/>
        <w:jc w:val="both"/>
        <w:ind w:firstLineChars="200"/>
      </w:pPr>
      <w:r>
        <w:rPr>
          <w:rFonts w:ascii="Times New Roman" w:hAnsi="Times New Roman" w:eastAsia="仿宋" w:cs="Times New Roman"/>
          <w:b w:val="0"/>
          <w:sz w:val="28"/>
        </w:rPr>
        <w:t>交易以一次性现金支付完成，未涉及结构化设计或股份支付，结构极为简单。根据《详式权益变动报告书》，收购资金来源于受让方自有或自筹资金，但鉴于延丰数字自身无经营现金流，资金约率来自实际控制人王波的个人出资或过桥借贷，公开信息并未强制要求穿透披露最终来源。股份过户后，延丰数字立即成为控股股东，王波通过</w:t>
      </w:r>
      <w:r>
        <w:rPr>
          <w:rFonts w:ascii="Times New Roman" w:hAnsi="Times New Roman" w:eastAsia="Times New Roman" w:cs="Times New Roman"/>
          <w:b w:val="0"/>
          <w:sz w:val="28"/>
        </w:rPr>
        <w:t>“</w:t>
      </w:r>
      <w:r>
        <w:rPr>
          <w:rFonts w:ascii="Times New Roman" w:hAnsi="Times New Roman" w:eastAsia="仿宋" w:cs="Times New Roman"/>
          <w:b w:val="0"/>
          <w:sz w:val="28"/>
        </w:rPr>
        <w:t>王波→延丰数字→*ST步森</w:t>
      </w:r>
      <w:r>
        <w:rPr>
          <w:rFonts w:ascii="Times New Roman" w:hAnsi="Times New Roman" w:eastAsia="Times New Roman" w:cs="Times New Roman"/>
          <w:b w:val="0"/>
          <w:sz w:val="28"/>
        </w:rPr>
        <w:t>”</w:t>
      </w:r>
      <w:r>
        <w:rPr>
          <w:rFonts w:ascii="Times New Roman" w:hAnsi="Times New Roman" w:eastAsia="仿宋" w:cs="Times New Roman"/>
          <w:b w:val="0"/>
          <w:sz w:val="28"/>
        </w:rPr>
        <w:t>的架构实施控制。然而，截至过户日。</w:t>
      </w:r>
    </w:p>
    <w:p>
      <w:pPr>
        <w:spacing w:before="0" w:after="0" w:line="240" w:lineRule="auto" w:beforeLines="0" w:afterLines="0"/>
        <w:jc w:val="left"/>
        <w:ind w:firstLineChars="200"/>
      </w:pPr>
      <w:r>
        <w:rPr>
          <w:rFonts w:ascii="Times New Roman" w:hAnsi="Times New Roman" w:eastAsia="仿宋" w:cs="Times New Roman"/>
          <w:b/>
          <w:sz w:val="28"/>
        </w:rPr>
        <w:t>四、产业错配下的后续约束：壳价值、重组上市风险与财务压力</w:t>
      </w:r>
    </w:p>
    <w:p>
      <w:pPr>
        <w:spacing w:before="0" w:after="0" w:line="240" w:lineRule="auto" w:beforeLines="0" w:afterLines="0"/>
        <w:jc w:val="both"/>
        <w:ind w:firstLineChars="200"/>
      </w:pPr>
      <w:r>
        <w:rPr>
          <w:rFonts w:ascii="Times New Roman" w:hAnsi="Times New Roman" w:eastAsia="仿宋" w:cs="Times New Roman"/>
          <w:b w:val="0"/>
          <w:sz w:val="28"/>
        </w:rPr>
        <w:t>服饰制造与软件信息服务之间存在根本性的产业鸿沟，本次收购不具备任何整合或协同基础。*ST步森所属的服饰主业已严重拖累公司价值，维持上市地位本身成为一种持续消耗；而延丰数字自身并无可注入的业务资产，因此收购目的约率直指</w:t>
      </w:r>
      <w:r>
        <w:rPr>
          <w:rFonts w:ascii="Times New Roman" w:hAnsi="Times New Roman" w:eastAsia="Times New Roman" w:cs="Times New Roman"/>
          <w:b w:val="0"/>
          <w:sz w:val="28"/>
        </w:rPr>
        <w:t>“</w:t>
      </w:r>
      <w:r>
        <w:rPr>
          <w:rFonts w:ascii="Times New Roman" w:hAnsi="Times New Roman" w:eastAsia="仿宋" w:cs="Times New Roman"/>
          <w:b w:val="0"/>
          <w:sz w:val="28"/>
        </w:rPr>
        <w:t>壳资源</w:t>
      </w:r>
      <w:r>
        <w:rPr>
          <w:rFonts w:ascii="Times New Roman" w:hAnsi="Times New Roman" w:eastAsia="Times New Roman" w:cs="Times New Roman"/>
          <w:b w:val="0"/>
          <w:sz w:val="28"/>
        </w:rPr>
        <w:t>”</w:t>
      </w:r>
      <w:r>
        <w:rPr>
          <w:rFonts w:ascii="Times New Roman" w:hAnsi="Times New Roman" w:eastAsia="仿宋" w:cs="Times New Roman"/>
          <w:b w:val="0"/>
          <w:sz w:val="28"/>
        </w:rPr>
        <w:t>本身。在全面注册制下，壳价值已大幅压缩，本案对价仅5,618.67万元，远低于早年动辄数亿元的水平，但这笔支出仅是初始购买成本，后续维持上市资格、注入资产或业务重组所需资金，才是真正投入。</w:t>
      </w:r>
    </w:p>
    <w:p>
      <w:pPr>
        <w:spacing w:before="0" w:after="0" w:line="240" w:lineRule="auto" w:beforeLines="0" w:afterLines="0"/>
        <w:jc w:val="both"/>
        <w:ind w:firstLineChars="200"/>
      </w:pPr>
      <w:r>
        <w:rPr>
          <w:rFonts w:ascii="Times New Roman" w:hAnsi="Times New Roman" w:eastAsia="仿宋" w:cs="Times New Roman"/>
          <w:b w:val="0"/>
          <w:sz w:val="28"/>
        </w:rPr>
        <w:t>买方在60个月锁定期内面临两重财务约束：一是5,618.67万元股权转让款的沉没成本，二是为上市公司提供借款、担保或认购定向增发股份的潜在出资。若买方最终选择注入软件服务类资产，需高度警惕触发</w:t>
      </w:r>
      <w:r>
        <w:rPr>
          <w:rFonts w:ascii="Times New Roman" w:hAnsi="Times New Roman" w:eastAsia="Times New Roman" w:cs="Times New Roman"/>
          <w:b w:val="0"/>
          <w:sz w:val="28"/>
        </w:rPr>
        <w:t>“</w:t>
      </w:r>
      <w:r>
        <w:rPr>
          <w:rFonts w:ascii="Times New Roman" w:hAnsi="Times New Roman" w:eastAsia="仿宋" w:cs="Times New Roman"/>
          <w:b w:val="0"/>
          <w:sz w:val="28"/>
        </w:rPr>
        <w:t>重组上市</w:t>
      </w:r>
      <w:r>
        <w:rPr>
          <w:rFonts w:ascii="Times New Roman" w:hAnsi="Times New Roman" w:eastAsia="Times New Roman" w:cs="Times New Roman"/>
          <w:b w:val="0"/>
          <w:sz w:val="28"/>
        </w:rPr>
        <w:t>”</w:t>
      </w:r>
      <w:r>
        <w:rPr>
          <w:rFonts w:ascii="Times New Roman" w:hAnsi="Times New Roman" w:eastAsia="仿宋" w:cs="Times New Roman"/>
          <w:b w:val="0"/>
          <w:sz w:val="28"/>
        </w:rPr>
        <w:t>标准。根据现行规则，上市公司自控制权变更之日起36个月内，向收购人及其关联人购买资产的总额、营业收入、净利润、资产净额等指标达到100%以上的，将构成重组上。</w:t>
      </w:r>
    </w:p>
    <w:p>
      <w:pPr>
        <w:spacing w:before="0" w:after="0" w:line="240" w:lineRule="auto" w:beforeLines="0" w:afterLines="0"/>
        <w:jc w:val="both"/>
        <w:ind w:firstLineChars="200"/>
      </w:pPr>
      <w:r>
        <w:rPr>
          <w:rFonts w:ascii="Times New Roman" w:hAnsi="Times New Roman" w:eastAsia="仿宋" w:cs="Times New Roman"/>
          <w:b w:val="0"/>
          <w:sz w:val="28"/>
        </w:rPr>
        <w:t>治理层面，实控人变更后若董事会长期维持原状，上市公司将陷入</w:t>
      </w:r>
      <w:r>
        <w:rPr>
          <w:rFonts w:ascii="Times New Roman" w:hAnsi="Times New Roman" w:eastAsia="Times New Roman" w:cs="Times New Roman"/>
          <w:b w:val="0"/>
          <w:sz w:val="28"/>
        </w:rPr>
        <w:t>“</w:t>
      </w:r>
      <w:r>
        <w:rPr>
          <w:rFonts w:ascii="Times New Roman" w:hAnsi="Times New Roman" w:eastAsia="仿宋" w:cs="Times New Roman"/>
          <w:b w:val="0"/>
          <w:sz w:val="28"/>
        </w:rPr>
        <w:t>控制权在延丰，经营权在旧人</w:t>
      </w:r>
      <w:r>
        <w:rPr>
          <w:rFonts w:ascii="Times New Roman" w:hAnsi="Times New Roman" w:eastAsia="Times New Roman" w:cs="Times New Roman"/>
          <w:b w:val="0"/>
          <w:sz w:val="28"/>
        </w:rPr>
        <w:t>”</w:t>
      </w:r>
      <w:r>
        <w:rPr>
          <w:rFonts w:ascii="Times New Roman" w:hAnsi="Times New Roman" w:eastAsia="仿宋" w:cs="Times New Roman"/>
          <w:b w:val="0"/>
          <w:sz w:val="28"/>
        </w:rPr>
        <w:t>的结构性矛盾，不利于重大决策。同时，若锁定期内经营无实质改善，股份价值可能大幅稀释，买方初始投资与后续投入均面临风险。因此，锁定期本质上是买方对自身后续运作能力的严格考验——必须有明确的资产储备和资本运作方案来催生价值，否则锁定期反而成为捆绑自身的枷锁。</w:t>
      </w:r>
    </w:p>
    <w:p>
      <w:pPr>
        <w:spacing w:before="0" w:after="0" w:line="240" w:lineRule="auto" w:beforeLines="0" w:afterLines="0"/>
        <w:jc w:val="left"/>
        <w:ind w:firstLineChars="200"/>
      </w:pPr>
      <w:r>
        <w:rPr>
          <w:rFonts w:ascii="Times New Roman" w:hAnsi="Times New Roman" w:eastAsia="仿宋" w:cs="Times New Roman"/>
          <w:b/>
          <w:sz w:val="28"/>
        </w:rPr>
        <w:t>五、结语：控制权与治理安排的核验方法</w:t>
      </w:r>
    </w:p>
    <w:p>
      <w:pPr>
        <w:spacing w:before="0" w:after="0" w:line="240" w:lineRule="auto" w:beforeLines="0" w:afterLines="0"/>
        <w:jc w:val="both"/>
        <w:ind w:firstLineChars="200"/>
      </w:pPr>
      <w:r>
        <w:rPr>
          <w:rFonts w:ascii="Times New Roman" w:hAnsi="Times New Roman" w:eastAsia="仿宋" w:cs="Times New Roman"/>
          <w:b w:val="0"/>
          <w:sz w:val="28"/>
        </w:rPr>
        <w:t>延丰数字以5,618.67万元协议受让14.81%股份入主*ST步森，勾勒出一条典型的</w:t>
      </w:r>
      <w:r>
        <w:rPr>
          <w:rFonts w:ascii="Times New Roman" w:hAnsi="Times New Roman" w:eastAsia="Times New Roman" w:cs="Times New Roman"/>
          <w:b w:val="0"/>
          <w:sz w:val="28"/>
        </w:rPr>
        <w:t>“</w:t>
      </w:r>
      <w:r>
        <w:rPr>
          <w:rFonts w:ascii="Times New Roman" w:hAnsi="Times New Roman" w:eastAsia="仿宋" w:cs="Times New Roman"/>
          <w:b w:val="0"/>
          <w:sz w:val="28"/>
        </w:rPr>
        <w:t>小比例控壳</w:t>
      </w:r>
      <w:r>
        <w:rPr>
          <w:rFonts w:ascii="Times New Roman" w:hAnsi="Times New Roman" w:eastAsia="Times New Roman" w:cs="Times New Roman"/>
          <w:b w:val="0"/>
          <w:sz w:val="28"/>
        </w:rPr>
        <w:t>”</w:t>
      </w:r>
      <w:r>
        <w:rPr>
          <w:rFonts w:ascii="Times New Roman" w:hAnsi="Times New Roman" w:eastAsia="仿宋" w:cs="Times New Roman"/>
          <w:b w:val="0"/>
          <w:sz w:val="28"/>
        </w:rPr>
        <w:t>路径。在上市公司股权高度分散、原控制人持股较低的背景下，收购方得以绕过要约收购义务，用极少资金实现控制权转移。为换取监管放行，买方主动承诺超长锁定，以时间锁定换取合规空间，同时为后续资产注入预留了窗口。卖方则通过财政确认与交易所审核的双重程序，完成了有序退出，避免了退市风险下的价值完全损失。</w:t>
      </w:r>
    </w:p>
    <w:p>
      <w:pPr>
        <w:spacing w:before="0" w:after="0" w:line="240" w:lineRule="auto" w:beforeLines="0" w:afterLines="0"/>
        <w:jc w:val="both"/>
        <w:ind w:firstLineChars="200"/>
      </w:pPr>
      <w:r>
        <w:rPr>
          <w:rFonts w:ascii="Times New Roman" w:hAnsi="Times New Roman" w:eastAsia="仿宋" w:cs="Times New Roman"/>
          <w:b w:val="0"/>
          <w:sz w:val="28"/>
        </w:rPr>
        <w:t>本案例对同类ST公司控制权转让的方法论意义在于三个方面：第一，当原控制人持股低于30%时，协议转让是获取控制权效率最高的工具，但前提是原控制人股权无瑕疵且定价合规；第二，超长锁定期已成为平衡信息不对称、降低监管阻力的关键对价，其长度往往反映买方预期的运作周期；第三，在产业背景完全无关的情况下，买方必须充分考虑后续资产注入可能触发借壳审核红线的风险，收购前应具备充分的资产储备与预案。</w:t>
      </w:r>
    </w:p>
    <w:p>
      <w:pPr>
        <w:spacing w:before="0" w:after="0" w:line="240" w:lineRule="auto" w:beforeLines="0" w:afterLines="0"/>
        <w:jc w:val="both"/>
        <w:ind w:firstLineChars="200"/>
      </w:pPr>
      <w:r>
        <w:rPr>
          <w:rFonts w:ascii="Times New Roman" w:hAnsi="Times New Roman" w:eastAsia="仿宋" w:cs="Times New Roman"/>
          <w:b w:val="0"/>
          <w:sz w:val="28"/>
        </w:rPr>
        <w:t>回到延丰数字与*ST步森，本案的真正启示不在于交易本身的金额或比例，而在于将5,618.67万元的对价、14.81%的股权、每股14.136元的定价、60个月的锁定承诺和财政、交易所的双重确认置于同一披露框架下检视：并购前必须确认信息披露是否足以支撑估值锚、条款安排、治理边界和交易执行；交易后则需持续观察董事会改选、资产注入等后续动作是否与已披露安排匹配。只有在这一框架内，此类控股权转让才具备可复用的方法论价值，而非停留在一次性买壳的零和博弈。</w:t>
      </w:r>
    </w:p>
    <w:p>
      <w:pPr>
        <w:spacing w:before="0" w:after="0" w:line="240" w:lineRule="auto" w:beforeLines="0" w:afterLines="0"/>
        <w:jc w:val="both"/>
        <w:ind w:firstLineChars="200"/>
      </w:pPr>
      <w:r>
        <w:rPr>
          <w:rFonts w:ascii="Times New Roman" w:hAnsi="Times New Roman" w:eastAsia="仿宋" w:cs="Times New Roman"/>
          <w:b w:val="0"/>
          <w:sz w:val="28"/>
        </w:rPr>
        <w:t>回到广州延丰数字科技与浙江步森服饰，本案的方法论意义不在于把交易结果写成通用并购总结，而在于把5,618.67万元、21,333,760股（转让股份数）；14.81%（持股比例）；14.136元/股（转让价格）；5,618.67万元（交易总价款）、控制权、股权比例、支付方式和交割条件放在同一披露链条中核验。因此，同类并购首先要确认信息披露是否足以支撑估值锚、条款安排、治理边界和交易执行；其次要把产业链位置、客户结构、产能、技术路线、资源禀赋和商业模式放回标的业务承接中判断；最后才评估收入、净利润、现金流、负债、资产、市值、订单、客户和用户等财务影响。对广州延丰数字科技而言，关键是交割承接和整合节奏能否与已披露安排匹配；对浙江步森服饰而言，关键是控制权或股东接受机制能否在公开资料边界内被持续验证。</w:t>
      </w:r>
    </w:p>
    <w:sectPr w:rsidR="00FC693F" w:rsidRPr="0006063C" w:rsidSect="00034616">
      <w:pgSz w:w="11906" w:h="16838"/>
      <w:pgMar w:top="1440" w:right="1800" w:bottom="1440" w:left="1800" w:header="720" w:footer="720" w:gutter="0"/>
      <w:cols w:space="720"/>
      <w:docGrid w:linePitch="312" w:type="line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beforeLines="0" w:afterLines="0"/>
      <w:jc w:val="both"/>
      <w:ind w:firstLineChars="200"/>
    </w:pPr>
    <w:rPr>
      <w:rFonts w:ascii="Times New Roman" w:hAnsi="Times New Roman" w:eastAsia="仿宋"/>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0" w:before="0" w:line="240" w:lineRule="auto" w:beforeLines="0" w:afterLines="0"/>
      <w:jc w:val="both"/>
      <w:ind w:firstLineChars="200"/>
    </w:pPr>
    <w:rPr>
      <w:rFonts w:ascii="Times New Roman" w:hAnsi="Times New Roman" w:eastAsia="仿宋"/>
      <w:sz w:val="2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