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金丹良收购浙江金海高科：控制权与治理安排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本案例涉及金丹良（下称</w:t>
      </w:r>
      <w:r>
        <w:rPr>
          <w:rFonts w:ascii="Times New Roman" w:hAnsi="Times New Roman" w:eastAsia="Times New Roman" w:cs="Times New Roman"/>
          <w:b w:val="0"/>
          <w:sz w:val="28"/>
        </w:rPr>
        <w:t>“</w:t>
      </w:r>
      <w:r>
        <w:rPr>
          <w:rFonts w:ascii="Times New Roman" w:hAnsi="Times New Roman" w:eastAsia="仿宋" w:cs="Times New Roman"/>
          <w:b w:val="0"/>
          <w:sz w:val="28"/>
        </w:rPr>
        <w:t>金丹良</w:t>
      </w:r>
      <w:r>
        <w:rPr>
          <w:rFonts w:ascii="Times New Roman" w:hAnsi="Times New Roman" w:eastAsia="Times New Roman" w:cs="Times New Roman"/>
          <w:b w:val="0"/>
          <w:sz w:val="28"/>
        </w:rPr>
        <w:t>”</w:t>
      </w:r>
      <w:r>
        <w:rPr>
          <w:rFonts w:ascii="Times New Roman" w:hAnsi="Times New Roman" w:eastAsia="仿宋" w:cs="Times New Roman"/>
          <w:b w:val="0"/>
          <w:sz w:val="28"/>
        </w:rPr>
        <w:t>）收购浙江金海高科股份有限公司（下称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浙江金海高科</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金海高科关于控股股东及一致行动人协议转让股份过户完成暨控制权发生变更的公告，目标线索为证券代码：603311证券简称：金海高科公告编号：2026-030浙江金海高科股份有限公司关于控股股东及一致行动人协议转让股份过户完成暨控制权发生变更的公告本公司董事会、全体董事及相关股东保证本公告内容不存在任何虚假记载、 误导性陈述或者重大遗漏，并对其内容的真实性、准确性和完整性承担法律责任。；重要内容提示：  浙江金海高科股份有限公司（下称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公司</w:t>
      </w:r>
      <w:r>
        <w:rPr>
          <w:rFonts w:ascii="Times New Roman" w:hAnsi="Times New Roman" w:eastAsia="Times New Roman" w:cs="Times New Roman"/>
          <w:b w:val="0"/>
          <w:sz w:val="28"/>
        </w:rPr>
        <w:t>”</w:t>
      </w:r>
      <w:r>
        <w:rPr>
          <w:rFonts w:ascii="Times New Roman" w:hAnsi="Times New Roman" w:eastAsia="仿宋" w:cs="Times New Roman"/>
          <w:b w:val="0"/>
          <w:sz w:val="28"/>
        </w:rPr>
        <w:t>。2026年6月11日，浙江金海高科股份有限公司（下称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金海高科</w:t>
      </w:r>
      <w:r>
        <w:rPr>
          <w:rFonts w:ascii="Times New Roman" w:hAnsi="Times New Roman" w:eastAsia="Times New Roman" w:cs="Times New Roman"/>
          <w:b w:val="0"/>
          <w:sz w:val="28"/>
        </w:rPr>
        <w:t>”</w:t>
      </w:r>
      <w:r>
        <w:rPr>
          <w:rFonts w:ascii="Times New Roman" w:hAnsi="Times New Roman" w:eastAsia="仿宋" w:cs="Times New Roman"/>
          <w:b w:val="0"/>
          <w:sz w:val="28"/>
        </w:rPr>
        <w:t>，股票代码：603311）完成控制权过户，自然人金丹良（下称</w:t>
      </w:r>
      <w:r>
        <w:rPr>
          <w:rFonts w:ascii="Times New Roman" w:hAnsi="Times New Roman" w:eastAsia="Times New Roman" w:cs="Times New Roman"/>
          <w:b w:val="0"/>
          <w:sz w:val="28"/>
        </w:rPr>
        <w:t>“</w:t>
      </w:r>
      <w:r>
        <w:rPr>
          <w:rFonts w:ascii="Times New Roman" w:hAnsi="Times New Roman" w:eastAsia="仿宋" w:cs="Times New Roman"/>
          <w:b w:val="0"/>
          <w:sz w:val="28"/>
        </w:rPr>
        <w:t>金丹良</w:t>
      </w:r>
      <w:r>
        <w:rPr>
          <w:rFonts w:ascii="Times New Roman" w:hAnsi="Times New Roman" w:eastAsia="Times New Roman" w:cs="Times New Roman"/>
          <w:b w:val="0"/>
          <w:sz w:val="28"/>
        </w:rPr>
        <w:t>”</w:t>
      </w:r>
      <w:r>
        <w:rPr>
          <w:rFonts w:ascii="Times New Roman" w:hAnsi="Times New Roman" w:eastAsia="仿宋" w:cs="Times New Roman"/>
          <w:b w:val="0"/>
          <w:sz w:val="28"/>
        </w:rPr>
        <w:t>）、陈永聪通过协议转让合计受让69,821,636股（占总股本29.60%），每股20.79元，总对价约14.52亿元。原控股股东汇投控股集团有限公司（下称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汇投控股</w:t>
      </w:r>
      <w:r>
        <w:rPr>
          <w:rFonts w:ascii="Times New Roman" w:hAnsi="Times New Roman" w:eastAsia="Times New Roman" w:cs="Times New Roman"/>
          <w:b w:val="0"/>
          <w:sz w:val="28"/>
        </w:rPr>
        <w:t>”</w:t>
      </w:r>
      <w:r>
        <w:rPr>
          <w:rFonts w:ascii="Times New Roman" w:hAnsi="Times New Roman" w:eastAsia="仿宋" w:cs="Times New Roman"/>
          <w:b w:val="0"/>
          <w:sz w:val="28"/>
        </w:rPr>
        <w:t>）及其一致行动人浙江诸暨三三投资有限公司（下称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诸暨三三</w:t>
      </w:r>
      <w:r>
        <w:rPr>
          <w:rFonts w:ascii="Times New Roman" w:hAnsi="Times New Roman" w:eastAsia="Times New Roman" w:cs="Times New Roman"/>
          <w:b w:val="0"/>
          <w:sz w:val="28"/>
        </w:rPr>
        <w:t>”</w:t>
      </w:r>
      <w:r>
        <w:rPr>
          <w:rFonts w:ascii="Times New Roman" w:hAnsi="Times New Roman" w:eastAsia="仿宋" w:cs="Times New Roman"/>
          <w:b w:val="0"/>
          <w:sz w:val="28"/>
        </w:rPr>
        <w:t>）一次性让渡控制权，受让方随即附加超出监管要求的整套承诺——60个月锁定期、12个月内主业不变、36个月内不注入任何资产且明确排除游戏类业务，同时不质押股份。这一组合式自我设限并非简单的表态，而是用刚性的边界管理化解控制权变动中常见的三重压力：监管对跨界套利的疑虑、市场对控制权稳定性的担忧、以及中小股东对隐性资产置换的防范。透过该案，可以清晰观察一致行动结构如何精确规避要约收购义务，以及附加承诺如何将控制权价值从一次性对价升级为长期治理信用的锚定。</w:t>
      </w:r>
    </w:p>
    <w:p>
      <w:pPr>
        <w:spacing w:before="0" w:after="0" w:line="240" w:lineRule="auto" w:beforeLines="0" w:afterLines="0"/>
        <w:jc w:val="left"/>
        <w:ind w:firstLineChars="200"/>
      </w:pPr>
      <w:r>
        <w:rPr>
          <w:rFonts w:ascii="Times New Roman" w:hAnsi="Times New Roman" w:eastAsia="仿宋" w:cs="Times New Roman"/>
          <w:b/>
          <w:sz w:val="28"/>
        </w:rPr>
        <w:t>一、控制权转让的起点：原控股股东的退出路径与协议发起机制</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约14.52亿元（20.79元/股，69,821,636股，占29.60%）；时间线包括2026年5月15日：签署《股份转让协议》；2026年6月11日：完成股份过户登记；关键数字包括转让股份数量：69,821,636股（占总股本29.60%）；转让价格：20.79元/股；交易对价：约14.52亿元；金丹。</w:t>
      </w:r>
    </w:p>
    <w:p>
      <w:pPr>
        <w:spacing w:before="0" w:after="0" w:line="240" w:lineRule="auto" w:beforeLines="0" w:afterLines="0"/>
        <w:jc w:val="both"/>
        <w:ind w:firstLineChars="200"/>
      </w:pPr>
      <w:r>
        <w:rPr>
          <w:rFonts w:ascii="Times New Roman" w:hAnsi="Times New Roman" w:eastAsia="仿宋" w:cs="Times New Roman"/>
          <w:b w:val="0"/>
          <w:sz w:val="28"/>
        </w:rPr>
        <w:t>交易前，汇投控股持有金海高科94,441,738股，持股比例约40.04%，与诸暨三三共同构成控制主体。公开资料未单独披露转让方出让控制权的主观动机，但从协议转让条款可以识别出一条清晰的现金退出逻辑：双方约定转让价格为20.79元/股，总对价约14.52亿元，由受让方以现金支付。过户后，汇投控股持股比例大幅下降，虽保留少量股权，但控制权已移至金丹良与陈永聪。在A股市场，非公开协议转让为控股股东提供了脱离二级市场长期择时和持续信披约束的集中变现通道，相对于大宗交易或集中竞价减持，它可以在较短时间内完成控制权一次性移转，同时锁定确定价格，对卖方具有明显效率优势。</w:t>
      </w:r>
    </w:p>
    <w:p>
      <w:pPr>
        <w:spacing w:before="0" w:after="0" w:line="240" w:lineRule="auto" w:beforeLines="0" w:afterLines="0"/>
        <w:jc w:val="both"/>
        <w:ind w:firstLineChars="200"/>
      </w:pPr>
      <w:r>
        <w:rPr>
          <w:rFonts w:ascii="Times New Roman" w:hAnsi="Times New Roman" w:eastAsia="仿宋" w:cs="Times New Roman"/>
          <w:b w:val="0"/>
          <w:sz w:val="28"/>
        </w:rPr>
        <w:t>受让方金丹良、陈永聪的收购意图在公告中未明示，但协议签署后伴随的一系列自愿承诺强烈指示了长期持有控制权、维持上市公司独立性的方向。根据公告，协议由双方协商发起，于2026年5月15日签署，随即提交上海证券交易所合规审查，6月11日完成过户，全程不足一个月。发起机制上，收购方以一致行动人身份整体承接29.60%股份，既取得实际控制权，又未触发30%的全面要约收购红线，程序上仅需履行权益变动披露与交易所合规确认，显著降低了不确定性和交易成本。</w:t>
      </w:r>
    </w:p>
    <w:p>
      <w:pPr>
        <w:spacing w:before="0" w:after="0" w:line="240" w:lineRule="auto" w:beforeLines="0" w:afterLines="0"/>
        <w:jc w:val="left"/>
        <w:ind w:firstLineChars="200"/>
      </w:pPr>
      <w:r>
        <w:rPr>
          <w:rFonts w:ascii="Times New Roman" w:hAnsi="Times New Roman" w:eastAsia="仿宋" w:cs="Times New Roman"/>
          <w:b/>
          <w:sz w:val="28"/>
        </w:rPr>
        <w:t>二、精准拆分的股权受让与一致行动：控制权获取而不触发要约</w:t>
      </w:r>
    </w:p>
    <w:p>
      <w:pPr>
        <w:spacing w:before="0" w:after="0" w:line="240" w:lineRule="auto" w:beforeLines="0" w:afterLines="0"/>
        <w:jc w:val="both"/>
        <w:ind w:firstLineChars="200"/>
      </w:pPr>
      <w:r>
        <w:rPr>
          <w:rFonts w:ascii="Times New Roman" w:hAnsi="Times New Roman" w:eastAsia="仿宋" w:cs="Times New Roman"/>
          <w:b w:val="0"/>
          <w:sz w:val="28"/>
        </w:rPr>
        <w:t>控制权平稳过渡的关键在于三笔股份转让的拆分设计。汇投控股将其持有的20.14%股份转让给金丹良，并将5.00%转让给陈永聪；诸暨三三将其持有的4.46%股份同样转让给金丹良。由此，金丹良单方持股达到24.60%，陈永聪持股5.00%，二人通过一致行动协议合计持有29.60%股份。任一单独受让方的持股比例均严格控制在30%以下，从而绕开了要约收购义务；但一致行。</w:t>
      </w:r>
    </w:p>
    <w:p>
      <w:pPr>
        <w:spacing w:before="0" w:after="0" w:line="240" w:lineRule="auto" w:beforeLines="0" w:afterLines="0"/>
        <w:jc w:val="both"/>
        <w:ind w:firstLineChars="200"/>
      </w:pPr>
      <w:r>
        <w:rPr>
          <w:rFonts w:ascii="Times New Roman" w:hAnsi="Times New Roman" w:eastAsia="仿宋" w:cs="Times New Roman"/>
          <w:b w:val="0"/>
          <w:sz w:val="28"/>
        </w:rPr>
        <w:t>以转让股数69,821,636股对应29.60%比例推算，金海高科总股本约为235,884,241股，本次交易整体对应的上市公司估值约为49.04亿元。由于公告未披露标的公司盈利数据，无法以市盈率或市净率衡量定价水平，但20.79元/股的固定价格锁定对价，本身已暗含控制权转让溢价成分。更为关键的是，收购方另承诺36个月内不以任何方式质押金海高科股份，侧面反映。</w:t>
      </w:r>
    </w:p>
    <w:p>
      <w:pPr>
        <w:spacing w:before="0" w:after="0" w:line="240" w:lineRule="auto" w:beforeLines="0" w:afterLines="0"/>
        <w:jc w:val="left"/>
        <w:ind w:firstLineChars="200"/>
      </w:pPr>
      <w:r>
        <w:rPr>
          <w:rFonts w:ascii="Times New Roman" w:hAnsi="Times New Roman" w:eastAsia="仿宋" w:cs="Times New Roman"/>
          <w:b/>
          <w:sz w:val="28"/>
        </w:rPr>
        <w:t>三、超越监管的承诺体系：锁定、主业维持与资产禁令的叠加效应</w:t>
      </w:r>
    </w:p>
    <w:p>
      <w:pPr>
        <w:spacing w:before="0" w:after="0" w:line="240" w:lineRule="auto" w:beforeLines="0" w:afterLines="0"/>
        <w:jc w:val="both"/>
        <w:ind w:firstLineChars="200"/>
      </w:pPr>
      <w:r>
        <w:rPr>
          <w:rFonts w:ascii="Times New Roman" w:hAnsi="Times New Roman" w:eastAsia="仿宋" w:cs="Times New Roman"/>
          <w:b w:val="0"/>
          <w:sz w:val="28"/>
        </w:rPr>
        <w:t>公告披露的受让方承诺体系层次分明。自愿锁定60个月远超《上市公司收购管理办法》规定的18个月法定锁定期，将受让方利益与上市公司长期业绩表现刚性绑定，严厉遏制了任何短期内套现退出的动机。与此同时，取得控制权起12个月内保持公司原有主营业务不变，不进行出售、合并、合资或重大资产置换，这为内部经营团队和市场提供了明确的心理缓冲期，避免控制权变动立即导致战略摇摆。此。</w:t>
      </w:r>
    </w:p>
    <w:p>
      <w:pPr>
        <w:spacing w:before="0" w:after="0" w:line="240" w:lineRule="auto" w:beforeLines="0" w:afterLines="0"/>
        <w:jc w:val="both"/>
        <w:ind w:firstLineChars="200"/>
      </w:pPr>
      <w:r>
        <w:rPr>
          <w:rFonts w:ascii="Times New Roman" w:hAnsi="Times New Roman" w:eastAsia="仿宋" w:cs="Times New Roman"/>
          <w:b w:val="0"/>
          <w:sz w:val="28"/>
        </w:rPr>
        <w:t>金海高科主营过滤材料及空调配件，属于制造业细分领域，与游戏产业无业务交集。收购方作出游戏资产禁令，本身暗示金丹良或陈永聪的产业背景可能与游戏行业有关联。公告并未披露收购方是否实际运营游戏业务，但禁令反证了市场或监管层可能存在的猜疑：收购方是否会利用上市公司平台装入个人旗下的游戏资产，实现跨界套利。通过白纸黑字地将游戏资产排除，收购方既消除了隐性的</w:t>
      </w:r>
      <w:r>
        <w:rPr>
          <w:rFonts w:ascii="Times New Roman" w:hAnsi="Times New Roman" w:eastAsia="Times New Roman" w:cs="Times New Roman"/>
          <w:b w:val="0"/>
          <w:sz w:val="28"/>
        </w:rPr>
        <w:t>“</w:t>
      </w:r>
      <w:r>
        <w:rPr>
          <w:rFonts w:ascii="Times New Roman" w:hAnsi="Times New Roman" w:eastAsia="仿宋" w:cs="Times New Roman"/>
          <w:b w:val="0"/>
          <w:sz w:val="28"/>
        </w:rPr>
        <w:t>买壳注入</w:t>
      </w:r>
      <w:r>
        <w:rPr>
          <w:rFonts w:ascii="Times New Roman" w:hAnsi="Times New Roman" w:eastAsia="Times New Roman" w:cs="Times New Roman"/>
          <w:b w:val="0"/>
          <w:sz w:val="28"/>
        </w:rPr>
        <w:t>”</w:t>
      </w:r>
      <w:r>
        <w:rPr>
          <w:rFonts w:ascii="Times New Roman" w:hAnsi="Times New Roman" w:eastAsia="仿宋" w:cs="Times New Roman"/>
          <w:b w:val="0"/>
          <w:sz w:val="28"/>
        </w:rPr>
        <w:t>。</w:t>
      </w:r>
    </w:p>
    <w:p>
      <w:pPr>
        <w:spacing w:before="0" w:after="0" w:line="240" w:lineRule="auto" w:beforeLines="0" w:afterLines="0"/>
        <w:jc w:val="both"/>
        <w:ind w:firstLineChars="200"/>
      </w:pPr>
      <w:r>
        <w:rPr>
          <w:rFonts w:ascii="Times New Roman" w:hAnsi="Times New Roman" w:eastAsia="仿宋" w:cs="Times New Roman"/>
          <w:b w:val="0"/>
          <w:sz w:val="28"/>
        </w:rPr>
        <w:t>叠加在锁定和主业维持之上的，还有36个月内不质押股份、保持上市公司独立性、避免同业竞争、减少及规范关联交易等承诺。多维度约束构成一个近乎闭环的治理安排，使得收购方在控制权交接后的36个月乃至60个月内，既不能通过资产置换改变公司性质，也不能利用股权质押变相套现或引入杠杆风险，同时必须维护公司原有经营体系。对于金海高科的中小股东而言，这一承诺组合等于用收购方自。</w:t>
      </w:r>
    </w:p>
    <w:p>
      <w:pPr>
        <w:spacing w:before="0" w:after="0" w:line="240" w:lineRule="auto" w:beforeLines="0" w:afterLines="0"/>
        <w:jc w:val="left"/>
        <w:ind w:firstLineChars="200"/>
      </w:pPr>
      <w:r>
        <w:rPr>
          <w:rFonts w:ascii="Times New Roman" w:hAnsi="Times New Roman" w:eastAsia="仿宋" w:cs="Times New Roman"/>
          <w:b/>
          <w:sz w:val="28"/>
        </w:rPr>
        <w:t>四、控制权交割的快速落地：合规确认、过户程序与治理承接</w:t>
      </w:r>
    </w:p>
    <w:p>
      <w:pPr>
        <w:spacing w:before="0" w:after="0" w:line="240" w:lineRule="auto" w:beforeLines="0" w:afterLines="0"/>
        <w:jc w:val="both"/>
        <w:ind w:firstLineChars="200"/>
      </w:pPr>
      <w:r>
        <w:rPr>
          <w:rFonts w:ascii="Times New Roman" w:hAnsi="Times New Roman" w:eastAsia="仿宋" w:cs="Times New Roman"/>
          <w:b w:val="0"/>
          <w:sz w:val="28"/>
        </w:rPr>
        <w:t>从协议签署到股份过户，全程仅耗时不到一个月。2026年5月15日签约，16日即披露提示性公告，18日详式权益变动报告书、财务顾问核查意见等文件及时公布，信息披露节奏紧密。上海证券交易所对协议转让出具合规性确认后，中国证券登记结算有限责任公司上海分公司于6月11日直接办理69,821,636股的过户登记，由转让方账户划转至金丹良、陈永聪名下，控制权自此完成法律。</w:t>
      </w:r>
    </w:p>
    <w:p>
      <w:pPr>
        <w:spacing w:before="0" w:after="0" w:line="240" w:lineRule="auto" w:beforeLines="0" w:afterLines="0"/>
        <w:jc w:val="both"/>
        <w:ind w:firstLineChars="200"/>
      </w:pPr>
      <w:r>
        <w:rPr>
          <w:rFonts w:ascii="Times New Roman" w:hAnsi="Times New Roman" w:eastAsia="仿宋" w:cs="Times New Roman"/>
          <w:b w:val="0"/>
          <w:sz w:val="28"/>
        </w:rPr>
        <w:t>过户完成后，汇投控股持股比例大幅降低并丧失控制权，金丹良与陈永聪成为公司新的实际控制人。与过户同步，收购方全部承诺立即生效，包括关于独立性、不竞争、规范关联交易等常规声明，以及锁定、主业维持、禁止注入等特约。公告明确声言</w:t>
      </w:r>
      <w:r>
        <w:rPr>
          <w:rFonts w:ascii="Times New Roman" w:hAnsi="Times New Roman" w:eastAsia="Times New Roman" w:cs="Times New Roman"/>
          <w:b w:val="0"/>
          <w:sz w:val="28"/>
        </w:rPr>
        <w:t>“</w:t>
      </w:r>
      <w:r>
        <w:rPr>
          <w:rFonts w:ascii="Times New Roman" w:hAnsi="Times New Roman" w:eastAsia="仿宋" w:cs="Times New Roman"/>
          <w:b w:val="0"/>
          <w:sz w:val="28"/>
        </w:rPr>
        <w:t>本次权益变动不会对公司的正常生产经营产生不利影响，不会影响公司独立性，不存在损害公司及中小股东利益的情形</w:t>
      </w:r>
      <w:r>
        <w:rPr>
          <w:rFonts w:ascii="Times New Roman" w:hAnsi="Times New Roman" w:eastAsia="Times New Roman" w:cs="Times New Roman"/>
          <w:b w:val="0"/>
          <w:sz w:val="28"/>
        </w:rPr>
        <w:t>”</w:t>
      </w:r>
      <w:r>
        <w:rPr>
          <w:rFonts w:ascii="Times New Roman" w:hAnsi="Times New Roman" w:eastAsia="仿宋" w:cs="Times New Roman"/>
          <w:b w:val="0"/>
          <w:sz w:val="28"/>
        </w:rPr>
        <w:t>。虽然公开资料未提供金海高科的具。</w:t>
      </w:r>
    </w:p>
    <w:p>
      <w:pPr>
        <w:spacing w:before="0" w:after="0" w:line="240" w:lineRule="auto" w:beforeLines="0" w:afterLines="0"/>
        <w:jc w:val="left"/>
        <w:ind w:firstLineChars="200"/>
      </w:pPr>
      <w:r>
        <w:rPr>
          <w:rFonts w:ascii="Times New Roman" w:hAnsi="Times New Roman" w:eastAsia="仿宋" w:cs="Times New Roman"/>
          <w:b/>
          <w:sz w:val="28"/>
        </w:rPr>
        <w:t>五、结语：控制权与治理安排的核验方法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金丹良受让金海高科控制权一案，偏离了只靠对价支付取得控制权的单向思维，而是通过一致行动人结构、标准化定价以及一套超过法定要求的自愿承诺，立体化地管理了控制权收购中的预期落差。14.52亿元的现金对价本身完成了所有权转移，但真正让交易平稳落地的是60个月锁定、主业维持、游戏资产禁令以及不质押承诺——它们将收购方未来的行动空间透明化，用明确的</w:t>
      </w:r>
      <w:r>
        <w:rPr>
          <w:rFonts w:ascii="Times New Roman" w:hAnsi="Times New Roman" w:eastAsia="Times New Roman" w:cs="Times New Roman"/>
          <w:b w:val="0"/>
          <w:sz w:val="28"/>
        </w:rPr>
        <w:t>“</w:t>
      </w:r>
      <w:r>
        <w:rPr>
          <w:rFonts w:ascii="Times New Roman" w:hAnsi="Times New Roman" w:eastAsia="仿宋" w:cs="Times New Roman"/>
          <w:b w:val="0"/>
          <w:sz w:val="28"/>
        </w:rPr>
        <w:t>不做什么</w:t>
      </w:r>
      <w:r>
        <w:rPr>
          <w:rFonts w:ascii="Times New Roman" w:hAnsi="Times New Roman" w:eastAsia="Times New Roman" w:cs="Times New Roman"/>
          <w:b w:val="0"/>
          <w:sz w:val="28"/>
        </w:rPr>
        <w:t>”</w:t>
      </w:r>
      <w:r>
        <w:rPr>
          <w:rFonts w:ascii="Times New Roman" w:hAnsi="Times New Roman" w:eastAsia="仿宋" w:cs="Times New Roman"/>
          <w:b w:val="0"/>
          <w:sz w:val="28"/>
        </w:rPr>
        <w:t>来定义控制的边界，从而换取监管和市场交易对手的即时信任。</w:t>
      </w:r>
    </w:p>
    <w:p>
      <w:pPr>
        <w:spacing w:before="0" w:after="0" w:line="240" w:lineRule="auto" w:beforeLines="0" w:afterLines="0"/>
        <w:jc w:val="both"/>
        <w:ind w:firstLineChars="200"/>
      </w:pPr>
      <w:r>
        <w:rPr>
          <w:rFonts w:ascii="Times New Roman" w:hAnsi="Times New Roman" w:eastAsia="仿宋" w:cs="Times New Roman"/>
          <w:b w:val="0"/>
          <w:sz w:val="28"/>
        </w:rPr>
        <w:t>从交易结构看，精确拆分受让比例至24.60%与5.00%，既为一致行动提供决策核心，又严守30%的要约收购界线，是一种需要精确计算边际安全的技术操作。从治理安排看，游戏资产禁令的专项设计提示，当收购方拥有的产业背景可能与上市公司主业产生潜在联想时，事先做出具体排除远比笼统的</w:t>
      </w:r>
      <w:r>
        <w:rPr>
          <w:rFonts w:ascii="Times New Roman" w:hAnsi="Times New Roman" w:eastAsia="Times New Roman" w:cs="Times New Roman"/>
          <w:b w:val="0"/>
          <w:sz w:val="28"/>
        </w:rPr>
        <w:t>“</w:t>
      </w:r>
      <w:r>
        <w:rPr>
          <w:rFonts w:ascii="Times New Roman" w:hAnsi="Times New Roman" w:eastAsia="仿宋" w:cs="Times New Roman"/>
          <w:b w:val="0"/>
          <w:sz w:val="28"/>
        </w:rPr>
        <w:t>无重组计划</w:t>
      </w:r>
      <w:r>
        <w:rPr>
          <w:rFonts w:ascii="Times New Roman" w:hAnsi="Times New Roman" w:eastAsia="Times New Roman" w:cs="Times New Roman"/>
          <w:b w:val="0"/>
          <w:sz w:val="28"/>
        </w:rPr>
        <w:t>”</w:t>
      </w:r>
      <w:r>
        <w:rPr>
          <w:rFonts w:ascii="Times New Roman" w:hAnsi="Times New Roman" w:eastAsia="仿宋" w:cs="Times New Roman"/>
          <w:b w:val="0"/>
          <w:sz w:val="28"/>
        </w:rPr>
        <w:t>更具说服力，因为它直接摘除了最具风险的预判点。该案的启示不在于承诺本身的数量，而在于其精准性：针对市场最担心的控制权不稳定、跨界资产植入和质押套现，逐一做出刚性的、有时间期限的回绝。</w:t>
      </w:r>
    </w:p>
    <w:p>
      <w:pPr>
        <w:spacing w:before="0" w:after="0" w:line="240" w:lineRule="auto" w:beforeLines="0" w:afterLines="0"/>
        <w:jc w:val="both"/>
        <w:ind w:firstLineChars="200"/>
      </w:pPr>
      <w:r>
        <w:rPr>
          <w:rFonts w:ascii="Times New Roman" w:hAnsi="Times New Roman" w:eastAsia="仿宋" w:cs="Times New Roman"/>
          <w:b w:val="0"/>
          <w:sz w:val="28"/>
        </w:rPr>
        <w:t>对于其他意图通过协议转让获得上市公司控制权的后来者，本案提供了一个可参照的范式：在制定交易方案之初，就将监管关注点和市场质疑点纳入承诺清单，通过自我约束主动降低交易的整体摩擦系数，而不是在交易所问询或舆论压力下被动补丁。金海高科未来的经营结果将最终检验长期持有策略的有效性，但从交易完成时点观察，其以承诺前置和架构精算为双轴的控制权接替方法，已经为A股同类并购添加了有价值的方法论注脚。</w:t>
      </w:r>
    </w:p>
    <w:p>
      <w:pPr>
        <w:spacing w:before="0" w:after="0" w:line="240" w:lineRule="auto" w:beforeLines="0" w:afterLines="0"/>
        <w:jc w:val="both"/>
        <w:ind w:firstLineChars="200"/>
      </w:pPr>
      <w:r>
        <w:rPr>
          <w:rFonts w:ascii="Times New Roman" w:hAnsi="Times New Roman" w:eastAsia="仿宋" w:cs="Times New Roman"/>
          <w:b w:val="0"/>
          <w:sz w:val="28"/>
        </w:rPr>
        <w:t>回到金丹良与浙江金海高科，本案的方法论意义不在于把交易结果写成通用并购总结，而在于把约14.52亿元（20.79元/股，69,821,636股，占29.60%）、转让股份数量：69,821,636股（占总股本29.60%）；转让价格：20.79元/股；交易对价：约14.52亿元；金丹良受让24.60%（其中从汇投控股20.14%，从诸暨三三4.46%），陈永聪受让5.00%、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金丹良而言，关键是交割承接和整合节奏能否与已披露安排匹配；对浙江金海高科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