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AMD收购ZT Systems并剥离制造业务：交易复盘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当收购方在签署协议时就计划剥离标的的重资产业务，交易结构便从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买入资产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转向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买入能力再分离负债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。AMD（下称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AMD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）于2025年完成对ZT Systems（下称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ZT Systems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）的整体收购，并随即启动制造业务剥离，通过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先收购、再拆分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设计，在获得系统集成能力的同时避免了重资产运营负担。对于产业集团而言，该案例的核心启示在于：交易结构应从终局倒推——在协议中提前锁定保留与剥离的边界，方能实现战略补强与财务稳健的双重目标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一、AI算力竞争推动芯片厂商向系统级能力延伸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在AI算力需求爆发的背景下，数据中心客户正从采购单一芯片转向要求整机系统交付。芯片厂商若缺乏从板卡到集群的系统集成能力，将难以在市场竞争中占据有利位置。公开资料未披露ZT Systems（下称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ZT Systems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）的具体业务细节，但从行业逻辑推断，ZT Systems作为系统集成商，拥有从服务器设计到制造交付的完整能力，其工程团队是AMD看中的核心资产。这一产业判断直接决定了交易结构——AMD需要的并非制造资产本身，而是系统集成知识产权和人才，因此收购后剥离制造成为自然选择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二、两阶段交易结构：先整体收购获取核心资产，再剥离制造释放价值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交易分为两个阶段推进，具体时间节点和金额未公开披露。第一阶段，AMD完成对ZT Systems（下称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ZT Systems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）全部资产或股权的收购，覆盖工程设计团队、系统集成知识产权、客户合同以及制造设施。公开资料未披露交易金额、支付方式及股权比例。第二阶段，AMD在收购完成后较快时间内将ZT Systems旗下的制造业务剥离给独立第三方。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先买后拆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核心在于提前锁定剥离方案。据公开信息推断，AMD在签署收购协议时已就制造业务与潜在买家达成原则性条款，以避免双重征税和资产闲置。操作上，剥离可能通过资产出售或股权出售完成；若采用股权出售，制造业务将成为独立法人实体，AMD不再持有股份。该结构的关键风险在于剥离买家的确定性和时间表：若剥离未能及时完成，AMD将不得不暂时经营制造业务，增加整合复杂度并拖累财务指标。因此，AMD在交易准备阶段即应同步寻找剥离买家，并在收购协议中约定剥离的强制完成期限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三、剥离制造业务：轻资产战略与资产负债表优化的双重逻辑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公开资料未披露AMD剥离制造业务的具体动机，但从战略和财务角度可以推断其逻辑。AMD本身为芯片设计公司，运营模式以研发和轻资产为主。制造业务涉及大量厂房、设备和劳动力，若保留，将显著提高固定资产占比，拉低资产周转率，并引入与设计截然不同的运营模式。剥离后，AMD的资产负债表更轻，研发投入可更聚焦于芯片架构和系统软件优化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财务影响角度看，制造业务剥离直接减少合并报表中的固定资产和运营成本。尽管交易金额未披露，但制造业务通常占系统集成商营收的较大比重，剥离后AMD的收购净成本显著降低。此外，剥离可能带来资产出售收益：若剥离对价高于制造业务账面价值，AMD可确认非经常性收益，用于抵消部分收购成本；即使剥离对价较低，出售重资产也能优化资本结构，降低资产负债率。更为重要的是，剥离避免了制造业务与AMD现有运营体系的冲突——服务器组装涉及供应链管理、库存波动和劳动力管理，与AMD的设计加分销模式差异巨大。通过剥离，AMD可直接将工程团队嵌入其数据中心事业部，而制造环节的工人和管理层继续由新所有者运作，员工稳定性更高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四、交割承接：系统集成团队融合与制造业务分离并行推进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公开资料未披露交割后的具体整合安排，但可以从交易结构推断关键融合要点。ZT Systems（下称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ZT Systems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工程团队是收购的核心价值，必须通过留任奖金、股权激励等方式锁定关键人才。制造业务剥离则涉及复杂的过渡安排：工厂员工需由新雇主接手，客户订单需在新旧运营主体间切换，供应链合同需重新谈判。AMD可能通过过渡服务协议在剥离后一段时间内向制造方提供IT、采购等支持，确保生产不中断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知识产权分割需谨慎：ZT Systems（下称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ZT Systems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）的制造技术图纸是否包含在设计包中？AMD应保留全部设计文档和测试规范，而生产操作指南则转让给制造方。客户关系层面，ZT Systems的原始客户可能同时与AMD和剥离后的制造方合作，AMD需确保客户合同中的系统集成责任由其自身承担，制造部分由制造方承接。员工留存是另一个关键：制造业务员工面临雇主变更，需提前沟通，并在收购协议中约定剥离买家的员工承接义务，避免劳资纠纷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围绕AMD收购ZT Systems（下称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ZT Systems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）并剥离制造业务（下称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ZT Systems并剥离制造业务（下称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ZT Systems并剥离制造业务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），公开资料能够直接复核的事实包括交易主体、进展状态和核心金额口径。收购方为AMD，标的方或被整合方为ZT Systems并剥离制造业务；交易状态为已完成，2025；交易金额或估值口径为公开资料未披露统一口径的完整金额。这些信息决定了复盘边界：交易评价不从主观判断出发，而从公告、交割文件、财务数据和双方披露的安排展开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五、结语：从终局倒推交易结构——买入能力、拆出资产模式的适用条件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AMD的案例为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买入能力、拆出资产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交易模式提供了可复用的方法论框架。该模式适用于以下场景：买方需要标的公司的核心人才、技术或客户关系，但无意或无法经营其重资产业务；标的公司内部存在天然可分离的部门（如制造、物流）；剥离后的资产能找到愿意接手的第三方，且剥离对价能回收部分收购资金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风险控制方面，交易条款应锁定以下要素：第一，剥离买家的确定性和退出时间表，避免收购完成后制造业务长期搁置；第二，过渡服务协议的期限和成本分摊，防止剥离后出现运营断崖；第三，知识产权分割的明确界定，防止核心设计外流。此外，买方需评估剥离是否触发反垄断二次审查：若制造业务剥离后形成新的主导供应商，可能引起监管关注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同类并购，该案例表明交易结构设计应从终局倒推：在签署收购协议时就要想清楚哪些资产需要保留、哪些需要剥离，以及剥离给谁、何时完成。只有将剥离方案与收购方案同步设计，才能最大化交易的战略价值与财务效率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