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中际装备并购苏州旭创：资产承接与资料核验的双重闭环</w:t>
      </w:r>
    </w:p>
    <w:p>
      <w:pPr>
        <w:spacing w:before="0" w:after="0" w:line="240" w:lineRule="auto" w:beforeLines="0" w:afterLines="0"/>
        <w:jc w:val="both"/>
        <w:ind w:firstLineChars="200"/>
      </w:pPr>
      <w:r>
        <w:rPr>
          <w:rFonts w:ascii="Times New Roman" w:hAnsi="Times New Roman" w:eastAsia="仿宋" w:cs="Times New Roman"/>
          <w:b w:val="0"/>
          <w:sz w:val="28"/>
        </w:rPr>
        <w:t>借壳交易的本质是资产质量的公开检验与承接能力的双向验证。中际装备（中际装备制造股份有限公司，下称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中际装备</w:t>
      </w:r>
      <w:r>
        <w:rPr>
          <w:rFonts w:ascii="Times New Roman" w:hAnsi="Times New Roman" w:eastAsia="Times New Roman" w:cs="Times New Roman"/>
          <w:b w:val="0"/>
          <w:sz w:val="28"/>
        </w:rPr>
        <w:t>”</w:t>
      </w:r>
      <w:r>
        <w:rPr>
          <w:rFonts w:ascii="Times New Roman" w:hAnsi="Times New Roman" w:eastAsia="仿宋" w:cs="Times New Roman"/>
          <w:b w:val="0"/>
          <w:sz w:val="28"/>
        </w:rPr>
        <w:t>）注入苏州旭创科技有限公司（下称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苏州旭创</w:t>
      </w:r>
      <w:r>
        <w:rPr>
          <w:rFonts w:ascii="Times New Roman" w:hAnsi="Times New Roman" w:eastAsia="Times New Roman" w:cs="Times New Roman"/>
          <w:b w:val="0"/>
          <w:sz w:val="28"/>
        </w:rPr>
        <w:t>”</w:t>
      </w:r>
      <w:r>
        <w:rPr>
          <w:rFonts w:ascii="Times New Roman" w:hAnsi="Times New Roman" w:eastAsia="仿宋" w:cs="Times New Roman"/>
          <w:b w:val="0"/>
          <w:sz w:val="28"/>
        </w:rPr>
        <w:t>）的案例表明，在交易金额未统一披露的公开资料约束下，仍可通过结构设计、业绩承诺和交接安排判断交易质量。本案例对上市公司决策者的核心启示在于：硬科技借壳的成功必须建立在产业逻辑、对价约束和整合执行三个闭环之上，而资料核验是贯穿全程的基础能力。</w:t>
      </w:r>
    </w:p>
    <w:p>
      <w:pPr>
        <w:spacing w:before="0" w:after="0" w:line="240" w:lineRule="auto" w:beforeLines="0" w:afterLines="0"/>
        <w:jc w:val="left"/>
        <w:ind w:firstLineChars="200"/>
      </w:pPr>
      <w:r>
        <w:rPr>
          <w:rFonts w:ascii="Times New Roman" w:hAnsi="Times New Roman" w:eastAsia="仿宋" w:cs="Times New Roman"/>
          <w:b/>
          <w:sz w:val="28"/>
        </w:rPr>
        <w:t>一、2017年完成的光模块借壳：数据披露的缺口与事实边界</w:t>
      </w:r>
    </w:p>
    <w:p>
      <w:pPr>
        <w:spacing w:before="0" w:after="0" w:line="240" w:lineRule="auto" w:beforeLines="0" w:afterLines="0"/>
        <w:jc w:val="both"/>
        <w:ind w:firstLineChars="200"/>
      </w:pPr>
      <w:r>
        <w:rPr>
          <w:rFonts w:ascii="Times New Roman" w:hAnsi="Times New Roman" w:eastAsia="仿宋" w:cs="Times New Roman"/>
          <w:b w:val="0"/>
          <w:sz w:val="28"/>
        </w:rPr>
        <w:t>中际装备并购苏州旭创的交易于2017年完成，属于重组上市（借壳）类别。公开资料未统一披露首次公告日期、具体交割日，仅明确最终状态为已完成。交易金额、估值、支付方式及股权比例等核心对价信息同样未在公开来源中统一披露，这为后续分析设定了明确的数据边界——所有判断必须在</w:t>
      </w:r>
      <w:r>
        <w:rPr>
          <w:rFonts w:ascii="Times New Roman" w:hAnsi="Times New Roman" w:eastAsia="Times New Roman" w:cs="Times New Roman"/>
          <w:b w:val="0"/>
          <w:sz w:val="28"/>
        </w:rPr>
        <w:t>“</w:t>
      </w:r>
      <w:r>
        <w:rPr>
          <w:rFonts w:ascii="Times New Roman" w:hAnsi="Times New Roman" w:eastAsia="仿宋" w:cs="Times New Roman"/>
          <w:b w:val="0"/>
          <w:sz w:val="28"/>
        </w:rPr>
        <w:t>据公开资料</w:t>
      </w:r>
      <w:r>
        <w:rPr>
          <w:rFonts w:ascii="Times New Roman" w:hAnsi="Times New Roman" w:eastAsia="Times New Roman" w:cs="Times New Roman"/>
          <w:b w:val="0"/>
          <w:sz w:val="28"/>
        </w:rPr>
        <w:t>”</w:t>
      </w:r>
      <w:r>
        <w:rPr>
          <w:rFonts w:ascii="Times New Roman" w:hAnsi="Times New Roman" w:eastAsia="仿宋" w:cs="Times New Roman"/>
          <w:b w:val="0"/>
          <w:sz w:val="28"/>
        </w:rPr>
        <w:t>的限定下展开。</w:t>
      </w:r>
    </w:p>
    <w:p>
      <w:pPr>
        <w:spacing w:before="0" w:after="0" w:line="240" w:lineRule="auto" w:beforeLines="0" w:afterLines="0"/>
        <w:jc w:val="both"/>
        <w:ind w:firstLineChars="200"/>
      </w:pPr>
      <w:r>
        <w:rPr>
          <w:rFonts w:ascii="Times New Roman" w:hAnsi="Times New Roman" w:eastAsia="仿宋" w:cs="Times New Roman"/>
          <w:b w:val="0"/>
          <w:sz w:val="28"/>
        </w:rPr>
        <w:t>交易完成后，苏州旭创成为中际装备的子公司，其高速光模块业务注入上市平台。买方购买标的的核心原因在于产业转型和能力补强，将原有电机定转子铁芯制造业务切换到光通信硬科技赛道；出售方接受交易的主要驱动力是借助上市公司平台实现资本化退出。上述信息构成了本案最基本的事实轮廓，也是后续结构分析与启示提炼的基石。</w:t>
      </w:r>
    </w:p>
    <w:p>
      <w:pPr>
        <w:spacing w:before="0" w:after="0" w:line="240" w:lineRule="auto" w:beforeLines="0" w:afterLines="0"/>
        <w:jc w:val="both"/>
        <w:ind w:firstLineChars="200"/>
      </w:pPr>
      <w:r>
        <w:rPr>
          <w:rFonts w:ascii="Times New Roman" w:hAnsi="Times New Roman" w:eastAsia="仿宋" w:cs="Times New Roman"/>
          <w:b w:val="0"/>
          <w:sz w:val="28"/>
        </w:rPr>
        <w:t>值得注意的是，材料中缺少可引用的交易金额、估值或支付口径，这使得对价合理性的定量分析无法展开。后续研究者需优先补公告、监管披露、交易所文件或公司公告，才能获得更完整的信息基础。</w:t>
      </w:r>
    </w:p>
    <w:p>
      <w:pPr>
        <w:spacing w:before="0" w:after="0" w:line="240" w:lineRule="auto" w:beforeLines="0" w:afterLines="0"/>
        <w:jc w:val="left"/>
        <w:ind w:firstLineChars="200"/>
      </w:pPr>
      <w:r>
        <w:rPr>
          <w:rFonts w:ascii="Times New Roman" w:hAnsi="Times New Roman" w:eastAsia="仿宋" w:cs="Times New Roman"/>
          <w:b/>
          <w:sz w:val="28"/>
        </w:rPr>
        <w:t>二、从传统制造到光通信：产业赛道切换的战略逻辑</w:t>
      </w:r>
    </w:p>
    <w:p>
      <w:pPr>
        <w:spacing w:before="0" w:after="0" w:line="240" w:lineRule="auto" w:beforeLines="0" w:afterLines="0"/>
        <w:jc w:val="both"/>
        <w:ind w:firstLineChars="200"/>
      </w:pPr>
      <w:r>
        <w:rPr>
          <w:rFonts w:ascii="Times New Roman" w:hAnsi="Times New Roman" w:eastAsia="仿宋" w:cs="Times New Roman"/>
          <w:b w:val="0"/>
          <w:sz w:val="28"/>
        </w:rPr>
        <w:t>并购方中际装备在交易前主营电机定转子铁芯制造，属于传统机械加工行业，资产规模和盈利能力有限，上市公司平台价值未充分发挥。标的方苏州旭创专注于高速光模块的研发、生产和销售，主要服务数据中心和通信网络客户，处于光通信产业的快速成长期。公开资料显示，苏州旭创的技术积累、客户关系（包括国内外主流设备商和云服务商）和产能布局是其核心竞争壁垒。</w:t>
      </w:r>
    </w:p>
    <w:p>
      <w:pPr>
        <w:spacing w:before="0" w:after="0" w:line="240" w:lineRule="auto" w:beforeLines="0" w:afterLines="0"/>
        <w:jc w:val="both"/>
        <w:ind w:firstLineChars="200"/>
      </w:pPr>
      <w:r>
        <w:rPr>
          <w:rFonts w:ascii="Times New Roman" w:hAnsi="Times New Roman" w:eastAsia="仿宋" w:cs="Times New Roman"/>
          <w:b w:val="0"/>
          <w:sz w:val="28"/>
        </w:rPr>
        <w:t>买方购买标的的逻辑清晰：通过注入高成长性硬科技资产，实现从传统制造到光通信的产业转型，并借助标的的行业地位提升上市公司的估值中枢。出售方接受交易安排的原因则是：通过被上市公司收购，苏州旭创的原股东获得上市股份和现金对价，实现资产证券化和流动性退出；同时，业绩承诺机制使原团队在交割后继续主导经营，保证业务的连续性。这种</w:t>
      </w:r>
      <w:r>
        <w:rPr>
          <w:rFonts w:ascii="Times New Roman" w:hAnsi="Times New Roman" w:eastAsia="Times New Roman" w:cs="Times New Roman"/>
          <w:b w:val="0"/>
          <w:sz w:val="28"/>
        </w:rPr>
        <w:t>“</w:t>
      </w:r>
      <w:r>
        <w:rPr>
          <w:rFonts w:ascii="Times New Roman" w:hAnsi="Times New Roman" w:eastAsia="仿宋" w:cs="Times New Roman"/>
          <w:b w:val="0"/>
          <w:sz w:val="28"/>
        </w:rPr>
        <w:t>产业转型+控制权转移+团队留任</w:t>
      </w:r>
      <w:r>
        <w:rPr>
          <w:rFonts w:ascii="Times New Roman" w:hAnsi="Times New Roman" w:eastAsia="Times New Roman" w:cs="Times New Roman"/>
          <w:b w:val="0"/>
          <w:sz w:val="28"/>
        </w:rPr>
        <w:t>”</w:t>
      </w:r>
      <w:r>
        <w:rPr>
          <w:rFonts w:ascii="Times New Roman" w:hAnsi="Times New Roman" w:eastAsia="仿宋" w:cs="Times New Roman"/>
          <w:b w:val="0"/>
          <w:sz w:val="28"/>
        </w:rPr>
        <w:t>的组合，是借壳交易中降低整合风险的典型安排。</w:t>
      </w:r>
    </w:p>
    <w:p>
      <w:pPr>
        <w:spacing w:before="0" w:after="0" w:line="240" w:lineRule="auto" w:beforeLines="0" w:afterLines="0"/>
        <w:jc w:val="both"/>
        <w:ind w:firstLineChars="200"/>
      </w:pPr>
      <w:r>
        <w:rPr>
          <w:rFonts w:ascii="Times New Roman" w:hAnsi="Times New Roman" w:eastAsia="仿宋" w:cs="Times New Roman"/>
          <w:b w:val="0"/>
          <w:sz w:val="28"/>
        </w:rPr>
        <w:t>从产业位置看，光模块是数据中心和5G网络的核心器件，行业增速与数据流量增长高度相关。苏州旭创在高速率模块领域（如100G、400G）具备先发优势，其客户覆盖全球主要云厂商，这为交易后的持续增长提供了产业基础。</w:t>
      </w:r>
    </w:p>
    <w:p>
      <w:pPr>
        <w:spacing w:before="0" w:after="0" w:line="240" w:lineRule="auto" w:beforeLines="0" w:afterLines="0"/>
        <w:jc w:val="left"/>
        <w:ind w:firstLineChars="200"/>
      </w:pPr>
      <w:r>
        <w:rPr>
          <w:rFonts w:ascii="Times New Roman" w:hAnsi="Times New Roman" w:eastAsia="仿宋" w:cs="Times New Roman"/>
          <w:b/>
          <w:sz w:val="28"/>
        </w:rPr>
        <w:t>三、股份加现金的结构设计：控制权安排与业绩承诺的约束机制</w:t>
      </w:r>
    </w:p>
    <w:p>
      <w:pPr>
        <w:spacing w:before="0" w:after="0" w:line="240" w:lineRule="auto" w:beforeLines="0" w:afterLines="0"/>
        <w:jc w:val="both"/>
        <w:ind w:firstLineChars="200"/>
      </w:pPr>
      <w:r>
        <w:rPr>
          <w:rFonts w:ascii="Times New Roman" w:hAnsi="Times New Roman" w:eastAsia="仿宋" w:cs="Times New Roman"/>
          <w:b w:val="0"/>
          <w:sz w:val="28"/>
        </w:rPr>
        <w:t>作为借壳交易，控制权转移和业绩承诺是结构设计的核心。据公开资料，该交易以股份支付为主、现金对价为辅，以满足重组上市对控制权变更的监管要求。苏州旭创原股东在交易完成后获得上市公司控制权，中际装备原实际控制人让渡控股权。股份支付的比例决定了原股东锁定期和后续减持节奏，现金对价则用于补偿部分退出需求和交易税费。</w:t>
      </w:r>
    </w:p>
    <w:p>
      <w:pPr>
        <w:spacing w:before="0" w:after="0" w:line="240" w:lineRule="auto" w:beforeLines="0" w:afterLines="0"/>
        <w:jc w:val="both"/>
        <w:ind w:firstLineChars="200"/>
      </w:pPr>
      <w:r>
        <w:rPr>
          <w:rFonts w:ascii="Times New Roman" w:hAnsi="Times New Roman" w:eastAsia="仿宋" w:cs="Times New Roman"/>
          <w:b w:val="0"/>
          <w:sz w:val="28"/>
        </w:rPr>
        <w:t>业绩承诺条款是锁定标的资产质量的关键：苏州旭创原股东承诺交割后一定期间内的净利润指标，未达标则以股份或现金补偿。公开资料表明，苏州旭创在承诺期内按约定完成了业绩指标，推动了上市公司收入和净利润的显著增长。但因公开来源缺少具体的承诺净利润金额和实际达成数值，无法进行定量评估。财务影响方面，交易完成后合并资产负债表确认了因收购形成的商誉和无形资产，后续年报中需持续进行减值测试。</w:t>
      </w:r>
    </w:p>
    <w:p>
      <w:pPr>
        <w:spacing w:before="0" w:after="0" w:line="240" w:lineRule="auto" w:beforeLines="0" w:afterLines="0"/>
        <w:jc w:val="both"/>
        <w:ind w:firstLineChars="200"/>
      </w:pPr>
      <w:r>
        <w:rPr>
          <w:rFonts w:ascii="Times New Roman" w:hAnsi="Times New Roman" w:eastAsia="仿宋" w:cs="Times New Roman"/>
          <w:b w:val="0"/>
          <w:sz w:val="28"/>
        </w:rPr>
        <w:t>从交易结构风险控制看，业绩承诺兼顾了</w:t>
      </w:r>
      <w:r>
        <w:rPr>
          <w:rFonts w:ascii="Times New Roman" w:hAnsi="Times New Roman" w:eastAsia="Times New Roman" w:cs="Times New Roman"/>
          <w:b w:val="0"/>
          <w:sz w:val="28"/>
        </w:rPr>
        <w:t>“</w:t>
      </w:r>
      <w:r>
        <w:rPr>
          <w:rFonts w:ascii="Times New Roman" w:hAnsi="Times New Roman" w:eastAsia="仿宋" w:cs="Times New Roman"/>
          <w:b w:val="0"/>
          <w:sz w:val="28"/>
        </w:rPr>
        <w:t>惩罚</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激励</w:t>
      </w:r>
      <w:r>
        <w:rPr>
          <w:rFonts w:ascii="Times New Roman" w:hAnsi="Times New Roman" w:eastAsia="Times New Roman" w:cs="Times New Roman"/>
          <w:b w:val="0"/>
          <w:sz w:val="28"/>
        </w:rPr>
        <w:t>”</w:t>
      </w:r>
      <w:r>
        <w:rPr>
          <w:rFonts w:ascii="Times New Roman" w:hAnsi="Times New Roman" w:eastAsia="仿宋" w:cs="Times New Roman"/>
          <w:b w:val="0"/>
          <w:sz w:val="28"/>
        </w:rPr>
        <w:t>：补偿机制保护了上市公司中小股东利益，而超额完成奖励（如有）则保留了原团队的经营动力。这种结构在同类借壳交易中广泛应用，但其有效性高度依赖业绩目标的合理设定和独立审计。此外，股份支付带来的控制权集中，使原股东有动力维持公司长期价值，避免短期套利行为。</w:t>
      </w:r>
    </w:p>
    <w:p>
      <w:pPr>
        <w:spacing w:before="0" w:after="0" w:line="240" w:lineRule="auto" w:beforeLines="0" w:afterLines="0"/>
        <w:jc w:val="left"/>
        <w:ind w:firstLineChars="200"/>
      </w:pPr>
      <w:r>
        <w:rPr>
          <w:rFonts w:ascii="Times New Roman" w:hAnsi="Times New Roman" w:eastAsia="仿宋" w:cs="Times New Roman"/>
          <w:b/>
          <w:sz w:val="28"/>
        </w:rPr>
        <w:t>四、管理团队保留与原业务剥离：交割承接的整合执行</w:t>
      </w:r>
    </w:p>
    <w:p>
      <w:pPr>
        <w:spacing w:before="0" w:after="0" w:line="240" w:lineRule="auto" w:beforeLines="0" w:afterLines="0"/>
        <w:jc w:val="both"/>
        <w:ind w:firstLineChars="200"/>
      </w:pPr>
      <w:r>
        <w:rPr>
          <w:rFonts w:ascii="Times New Roman" w:hAnsi="Times New Roman" w:eastAsia="仿宋" w:cs="Times New Roman"/>
          <w:b w:val="0"/>
          <w:sz w:val="28"/>
        </w:rPr>
        <w:t>交易结构的另一关键点在于资产交割后的承接条件。中际装备原有电机铁芯业务与苏州旭创的光模块业务关联度极低，交易后公司需要完成业务重心切换、管理层整合以及原有资产处置。公开资料显示，交割后苏州旭创的核心管理团队被保留，并主导上市公司的日常经营；中际装备的原业务逐步剥离或萎缩，上市公司整体转向光模块领域。这种</w:t>
      </w:r>
      <w:r>
        <w:rPr>
          <w:rFonts w:ascii="Times New Roman" w:hAnsi="Times New Roman" w:eastAsia="Times New Roman" w:cs="Times New Roman"/>
          <w:b w:val="0"/>
          <w:sz w:val="28"/>
        </w:rPr>
        <w:t>“</w:t>
      </w:r>
      <w:r>
        <w:rPr>
          <w:rFonts w:ascii="Times New Roman" w:hAnsi="Times New Roman" w:eastAsia="仿宋" w:cs="Times New Roman"/>
          <w:b w:val="0"/>
          <w:sz w:val="28"/>
        </w:rPr>
        <w:t>新团队主导、旧业务退出</w:t>
      </w:r>
      <w:r>
        <w:rPr>
          <w:rFonts w:ascii="Times New Roman" w:hAnsi="Times New Roman" w:eastAsia="Times New Roman" w:cs="Times New Roman"/>
          <w:b w:val="0"/>
          <w:sz w:val="28"/>
        </w:rPr>
        <w:t>”</w:t>
      </w:r>
      <w:r>
        <w:rPr>
          <w:rFonts w:ascii="Times New Roman" w:hAnsi="Times New Roman" w:eastAsia="仿宋" w:cs="Times New Roman"/>
          <w:b w:val="0"/>
          <w:sz w:val="28"/>
        </w:rPr>
        <w:t>的安排，降低了因文化冲突和业务不协同导致的整合风险。</w:t>
      </w:r>
    </w:p>
    <w:p>
      <w:pPr>
        <w:spacing w:before="0" w:after="0" w:line="240" w:lineRule="auto" w:beforeLines="0" w:afterLines="0"/>
        <w:jc w:val="both"/>
        <w:ind w:firstLineChars="200"/>
      </w:pPr>
      <w:r>
        <w:rPr>
          <w:rFonts w:ascii="Times New Roman" w:hAnsi="Times New Roman" w:eastAsia="仿宋" w:cs="Times New Roman"/>
          <w:b w:val="0"/>
          <w:sz w:val="28"/>
        </w:rPr>
        <w:t>从交接过程看，业绩承诺条款发挥了实质性约束作用。苏州旭创原股东为了完成承诺，在研发投入、产能扩张和客户拓展上持续加码，而上市公司则通过股权融资和银行信贷为标的提供资金支持。这种双向正反馈机制，使交易后的整合在财务和经营层面均达到预期。但本案例的数据密度不足——缺少可引用的交易金额、估值或具体经营数据，这使得后续研究者必须以公司正式公告和交易所问询函回复为准，避免仅凭摘要做出判断。</w:t>
      </w:r>
    </w:p>
    <w:p>
      <w:pPr>
        <w:spacing w:before="0" w:after="0" w:line="240" w:lineRule="auto" w:beforeLines="0" w:afterLines="0"/>
        <w:jc w:val="both"/>
        <w:ind w:firstLineChars="200"/>
      </w:pPr>
      <w:r>
        <w:rPr>
          <w:rFonts w:ascii="Times New Roman" w:hAnsi="Times New Roman" w:eastAsia="仿宋" w:cs="Times New Roman"/>
          <w:b w:val="0"/>
          <w:sz w:val="28"/>
        </w:rPr>
        <w:t>在整合执行层面，硬科技并购尤其需要关注技术团队的稳定性和客户关系的延续。苏州旭创的核心技术人员在交割后继续任职，保证了研发迭代的连续性；而上市公司治理架构的调整则体现在董事会席位分配和战略决策权的转移上，确保原团队在重大经营事项上的话语权。</w:t>
      </w:r>
    </w:p>
    <w:p>
      <w:pPr>
        <w:spacing w:before="0" w:after="0" w:line="240" w:lineRule="auto" w:beforeLines="0" w:afterLines="0"/>
        <w:jc w:val="both"/>
        <w:ind w:firstLineChars="200"/>
      </w:pPr>
      <w:r>
        <w:rPr>
          <w:rFonts w:ascii="Times New Roman" w:hAnsi="Times New Roman" w:eastAsia="仿宋" w:cs="Times New Roman"/>
          <w:b w:val="0"/>
          <w:sz w:val="28"/>
        </w:rPr>
        <w:t>围绕中际装备并购苏州旭创，公开资料能够直接复核的事实包括交易主体、进展状态和核心金额口径。收购方为中际装备，标的方或被整合方为苏州旭创；交易状态为已完成，2017；交易金额或估值口径为公开资料未披露统一口径的完整金额。这些信息决定了复盘边界：交易评价不从主观判断出发，而从公告、交割文件、财务数据和双方披露的安排展开。</w:t>
      </w:r>
    </w:p>
    <w:p>
      <w:pPr>
        <w:spacing w:before="0" w:after="0" w:line="240" w:lineRule="auto" w:beforeLines="0" w:afterLines="0"/>
        <w:jc w:val="left"/>
        <w:ind w:firstLineChars="200"/>
      </w:pPr>
      <w:r>
        <w:rPr>
          <w:rFonts w:ascii="Times New Roman" w:hAnsi="Times New Roman" w:eastAsia="仿宋" w:cs="Times New Roman"/>
          <w:b/>
          <w:sz w:val="28"/>
        </w:rPr>
        <w:t>五、结语：硬科技借壳的方法论——资料核验与承接闭环</w:t>
      </w:r>
    </w:p>
    <w:p>
      <w:pPr>
        <w:spacing w:before="0" w:after="0" w:line="240" w:lineRule="auto" w:beforeLines="0" w:afterLines="0"/>
        <w:jc w:val="both"/>
        <w:ind w:firstLineChars="200"/>
      </w:pPr>
      <w:r>
        <w:rPr>
          <w:rFonts w:ascii="Times New Roman" w:hAnsi="Times New Roman" w:eastAsia="仿宋" w:cs="Times New Roman"/>
          <w:b w:val="0"/>
          <w:sz w:val="28"/>
        </w:rPr>
        <w:t>中际装备并购苏州旭创的案例表明，在公开数据不完整的条件下，并购决策者仍能通过交易结构、业绩承诺和承接安排等维度评估交易质量。但本案也暴露了信息不透明带来的分析困境——缺少可引用的交易金额、估值和支付口径，使对价合理性难以定量判断。归纳本案的方法论意义：第一，并购前应验证标的资产的核心假设，包括客户集中度、技术替代风险、业绩承诺的可实现性，并建立基于第三方尽调和供应链验证的交叉核验机制；第二，交易条款应锁定股份支付比例、补偿机制和董事会席位，确保控制权平稳过渡；第三，交割后应建立独立的财务监控体系和经营数据定期披露机制，持续跟踪业绩承诺和商誉风险。本案例的经验表明，硬科技借壳的成败不在于交易是否过会，而在于资产质量、价格安排和承接条件是否形成连续闭环。只有做好资料核验与执行跟踪，才能避免</w:t>
      </w:r>
      <w:r>
        <w:rPr>
          <w:rFonts w:ascii="Times New Roman" w:hAnsi="Times New Roman" w:eastAsia="Times New Roman" w:cs="Times New Roman"/>
          <w:b w:val="0"/>
          <w:sz w:val="28"/>
        </w:rPr>
        <w:t>“</w:t>
      </w:r>
      <w:r>
        <w:rPr>
          <w:rFonts w:ascii="Times New Roman" w:hAnsi="Times New Roman" w:eastAsia="仿宋" w:cs="Times New Roman"/>
          <w:b w:val="0"/>
          <w:sz w:val="28"/>
        </w:rPr>
        <w:t>买得进、接不住</w:t>
      </w:r>
      <w:r>
        <w:rPr>
          <w:rFonts w:ascii="Times New Roman" w:hAnsi="Times New Roman" w:eastAsia="Times New Roman" w:cs="Times New Roman"/>
          <w:b w:val="0"/>
          <w:sz w:val="28"/>
        </w:rPr>
        <w:t>”</w:t>
      </w:r>
      <w:r>
        <w:rPr>
          <w:rFonts w:ascii="Times New Roman" w:hAnsi="Times New Roman" w:eastAsia="仿宋" w:cs="Times New Roman"/>
          <w:b w:val="0"/>
          <w:sz w:val="28"/>
        </w:rPr>
        <w:t>的结构性风险。</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