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奇虎360收购回归A股：交易复盘</w:t>
      </w:r>
    </w:p>
    <w:p>
      <w:pPr>
        <w:spacing w:before="0" w:after="0" w:line="240" w:lineRule="auto" w:beforeLines="0" w:afterLines="0"/>
        <w:jc w:val="both"/>
        <w:ind w:firstLineChars="200"/>
      </w:pPr>
      <w:r>
        <w:rPr>
          <w:rFonts w:ascii="Times New Roman" w:hAnsi="Times New Roman" w:eastAsia="仿宋" w:cs="Times New Roman"/>
          <w:b w:val="0"/>
          <w:sz w:val="28"/>
        </w:rPr>
        <w:t>奇虎360（下称</w:t>
      </w:r>
      <w:r>
        <w:rPr>
          <w:rFonts w:ascii="Times New Roman" w:hAnsi="Times New Roman" w:eastAsia="Times New Roman" w:cs="Times New Roman"/>
          <w:b w:val="0"/>
          <w:sz w:val="28"/>
        </w:rPr>
        <w:t>“</w:t>
      </w:r>
      <w:r>
        <w:rPr>
          <w:rFonts w:ascii="Times New Roman" w:hAnsi="Times New Roman" w:eastAsia="仿宋" w:cs="Times New Roman"/>
          <w:b w:val="0"/>
          <w:sz w:val="28"/>
        </w:rPr>
        <w:t>360</w:t>
      </w:r>
      <w:r>
        <w:rPr>
          <w:rFonts w:ascii="Times New Roman" w:hAnsi="Times New Roman" w:eastAsia="Times New Roman" w:cs="Times New Roman"/>
          <w:b w:val="0"/>
          <w:sz w:val="28"/>
        </w:rPr>
        <w:t>”</w:t>
      </w:r>
      <w:r>
        <w:rPr>
          <w:rFonts w:ascii="Times New Roman" w:hAnsi="Times New Roman" w:eastAsia="仿宋" w:cs="Times New Roman"/>
          <w:b w:val="0"/>
          <w:sz w:val="28"/>
        </w:rPr>
        <w:t>，NYSE：QIHU）私有化回归A股（下称</w:t>
      </w:r>
      <w:r>
        <w:rPr>
          <w:rFonts w:ascii="Times New Roman" w:hAnsi="Times New Roman" w:eastAsia="Times New Roman" w:cs="Times New Roman"/>
          <w:b w:val="0"/>
          <w:sz w:val="28"/>
        </w:rPr>
        <w:t>“</w:t>
      </w:r>
      <w:r>
        <w:rPr>
          <w:rFonts w:ascii="Times New Roman" w:hAnsi="Times New Roman" w:eastAsia="仿宋" w:cs="Times New Roman"/>
          <w:b w:val="0"/>
          <w:sz w:val="28"/>
        </w:rPr>
        <w:t>回归A股</w:t>
      </w:r>
      <w:r>
        <w:rPr>
          <w:rFonts w:ascii="Times New Roman" w:hAnsi="Times New Roman" w:eastAsia="Times New Roman" w:cs="Times New Roman"/>
          <w:b w:val="0"/>
          <w:sz w:val="28"/>
        </w:rPr>
        <w:t>”</w:t>
      </w:r>
      <w:r>
        <w:rPr>
          <w:rFonts w:ascii="Times New Roman" w:hAnsi="Times New Roman" w:eastAsia="仿宋" w:cs="Times New Roman"/>
          <w:b w:val="0"/>
          <w:sz w:val="28"/>
        </w:rPr>
        <w:t>）提供了中概股回归的完整样本：从产业低估判断、财团利益平衡、跨境资金安排到借壳上市执行，每个环节都暗藏失败风险。本案例验证了私有化前需确认的核心前提——估值套利空间是否真实、资金出境路径是否合规、业绩承诺是否可持续，以及交易结构如何通过分层设计降低各方博弈成本。对于计划回归的中概股公司，360案例揭示了一条包含财团组建、跨境融资、监管审批与业绩对赌的可行路径，但其回归后的估值波动也警示了业务基本面与资本溢价之间的深层矛盾。</w:t>
      </w:r>
    </w:p>
    <w:p>
      <w:pPr>
        <w:spacing w:before="0" w:after="0" w:line="240" w:lineRule="auto" w:beforeLines="0" w:afterLines="0"/>
        <w:jc w:val="left"/>
        <w:ind w:firstLineChars="200"/>
      </w:pPr>
      <w:r>
        <w:rPr>
          <w:rFonts w:ascii="Times New Roman" w:hAnsi="Times New Roman" w:eastAsia="仿宋" w:cs="Times New Roman"/>
          <w:b/>
          <w:sz w:val="28"/>
        </w:rPr>
        <w:t>一、美股市值低估与A股安全溢价：私有化的双重动因与产业窗口</w:t>
      </w:r>
    </w:p>
    <w:p>
      <w:pPr>
        <w:spacing w:before="0" w:after="0" w:line="240" w:lineRule="auto" w:beforeLines="0" w:afterLines="0"/>
        <w:jc w:val="both"/>
        <w:ind w:firstLineChars="200"/>
      </w:pPr>
      <w:r>
        <w:rPr>
          <w:rFonts w:ascii="Times New Roman" w:hAnsi="Times New Roman" w:eastAsia="仿宋" w:cs="Times New Roman"/>
          <w:b w:val="0"/>
          <w:sz w:val="28"/>
        </w:rPr>
        <w:t>2011年3月，360在纽约证券交易所上市，市值一度超过100亿美元。但随后美股市场对中概股网络安全公司的估值逻辑与业务模式存在分歧，360的市盈率长期低于A股同类企业。与此同时，国内网络安全产业在政策推动下进入高景气周期，A股市场对安全标的给予更高溢价。360管理层判断，回归A股能更充分体现公司价值，并利用国内资本支持业务扩张。</w:t>
      </w:r>
    </w:p>
    <w:p>
      <w:pPr>
        <w:spacing w:before="0" w:after="0" w:line="240" w:lineRule="auto" w:beforeLines="0" w:afterLines="0"/>
        <w:jc w:val="both"/>
        <w:ind w:firstLineChars="200"/>
      </w:pPr>
      <w:r>
        <w:rPr>
          <w:rFonts w:ascii="Times New Roman" w:hAnsi="Times New Roman" w:eastAsia="仿宋" w:cs="Times New Roman"/>
          <w:b w:val="0"/>
          <w:sz w:val="28"/>
        </w:rPr>
        <w:t>买方财团的核心动机是产业与资本的双重套利：一方面，360在国内安全市场的龙头地位（尤其在PC端安全产品渗透率极高）具备稀缺性；另一方面，A股对互联网安全资产的估值倍数远高于美股。据公开资料，私有化前360在美股市盈率约30倍，而同期A股网络安全公司平均市盈率超过80倍。这种差距成为私有化的核心驱动力。私有化的决策逻辑本质是</w:t>
      </w:r>
      <w:r>
        <w:rPr>
          <w:rFonts w:ascii="Times New Roman" w:hAnsi="Times New Roman" w:eastAsia="Times New Roman" w:cs="Times New Roman"/>
          <w:b w:val="0"/>
          <w:sz w:val="28"/>
        </w:rPr>
        <w:t>“</w:t>
      </w:r>
      <w:r>
        <w:rPr>
          <w:rFonts w:ascii="Times New Roman" w:hAnsi="Times New Roman" w:eastAsia="仿宋" w:cs="Times New Roman"/>
          <w:b w:val="0"/>
          <w:sz w:val="28"/>
        </w:rPr>
        <w:t>产业价值被低估，资本溢价空间存在</w:t>
      </w:r>
      <w:r>
        <w:rPr>
          <w:rFonts w:ascii="Times New Roman" w:hAnsi="Times New Roman" w:eastAsia="Times New Roman" w:cs="Times New Roman"/>
          <w:b w:val="0"/>
          <w:sz w:val="28"/>
        </w:rPr>
        <w:t>”</w:t>
      </w:r>
      <w:r>
        <w:rPr>
          <w:rFonts w:ascii="Times New Roman" w:hAnsi="Times New Roman" w:eastAsia="仿宋" w:cs="Times New Roman"/>
          <w:b w:val="0"/>
          <w:sz w:val="28"/>
        </w:rPr>
        <w:t>，但实现的前提是私有化成本与A股增值之间的净收益为正。</w:t>
      </w:r>
    </w:p>
    <w:p>
      <w:pPr>
        <w:spacing w:before="0" w:after="0" w:line="240" w:lineRule="auto" w:beforeLines="0" w:afterLines="0"/>
        <w:jc w:val="both"/>
        <w:ind w:firstLineChars="200"/>
      </w:pPr>
      <w:r>
        <w:rPr>
          <w:rFonts w:ascii="Times New Roman" w:hAnsi="Times New Roman" w:eastAsia="仿宋" w:cs="Times New Roman"/>
          <w:b w:val="0"/>
          <w:sz w:val="28"/>
        </w:rPr>
        <w:t>产业判断层面，360所处的网络安全行业具有强政策属性和高用户粘性，但移动互联网时代的业务转型压力也逐步显现。私有化决策抓住了国内资本市场对安全标的的估值窗口，但回归后的持续增长不能仅依赖估值修复，更需业务创新。据公开资料，360在私有化前的营收增速已放缓，这提示中概股在私有化前应验证：估值差异是否足以覆盖私有化交易成本（包括溢价、融资利息、中介费用），以及回归后能否维持增长预期以支撑A股的高估值。</w:t>
      </w:r>
    </w:p>
    <w:p>
      <w:pPr>
        <w:spacing w:before="0" w:after="0" w:line="240" w:lineRule="auto" w:beforeLines="0" w:afterLines="0"/>
        <w:jc w:val="both"/>
        <w:ind w:firstLineChars="200"/>
      </w:pPr>
      <w:r>
        <w:rPr>
          <w:rFonts w:ascii="Times New Roman" w:hAnsi="Times New Roman" w:eastAsia="仿宋" w:cs="Times New Roman"/>
          <w:b w:val="0"/>
          <w:sz w:val="28"/>
        </w:rPr>
        <w:t>此外，产业判断还需考虑竞品格局。A股网络安全标的稀缺性在2010年代中期较强，但随后启明星辰、深信服等竞争对手陆续上市，稀缺性下降。360的私有化时机选在估值套利窗口期，但产业竞争态势的动态变化表明，卖方（原股东）接受私有化安排，根本在于管理层出价（溢价约30%以上）提供了流动性溢价和确定性退出机会，对冲了美股低迷的风险。</w:t>
      </w:r>
    </w:p>
    <w:p>
      <w:pPr>
        <w:spacing w:before="0" w:after="0" w:line="240" w:lineRule="auto" w:beforeLines="0" w:afterLines="0"/>
        <w:jc w:val="left"/>
        <w:ind w:firstLineChars="200"/>
      </w:pPr>
      <w:r>
        <w:rPr>
          <w:rFonts w:ascii="Times New Roman" w:hAnsi="Times New Roman" w:eastAsia="仿宋" w:cs="Times New Roman"/>
          <w:b/>
          <w:sz w:val="28"/>
        </w:rPr>
        <w:t>二、财团分层与利益绑定：买方团队的结构设计与内在张力</w:t>
      </w:r>
    </w:p>
    <w:p>
      <w:pPr>
        <w:spacing w:before="0" w:after="0" w:line="240" w:lineRule="auto" w:beforeLines="0" w:afterLines="0"/>
        <w:jc w:val="both"/>
        <w:ind w:firstLineChars="200"/>
      </w:pPr>
      <w:r>
        <w:rPr>
          <w:rFonts w:ascii="Times New Roman" w:hAnsi="Times New Roman" w:eastAsia="仿宋" w:cs="Times New Roman"/>
          <w:b w:val="0"/>
          <w:sz w:val="28"/>
        </w:rPr>
        <w:t>2015年，360宣布收到创始人周鸿祎联合中信国安、红杉资本中国基金、华兴资本、金砖丝路资本等组成的买方财团的初步非约束性私有化要约，报价较前一日收盘价有较大溢价，对应公司估值约93亿美元。财团成员既包括产业资本（中信国安等），也包括财务投资机构（红杉、华兴等），以及公司管理层。这种分层结构在设计上意在分散资金压力并绑定多方利益：管理层保持控制权，产业资本提供资源与审批通道支持，财务投资机构追求退出收益。</w:t>
      </w:r>
    </w:p>
    <w:p>
      <w:pPr>
        <w:spacing w:before="0" w:after="0" w:line="240" w:lineRule="auto" w:beforeLines="0" w:afterLines="0"/>
        <w:jc w:val="both"/>
        <w:ind w:firstLineChars="200"/>
      </w:pPr>
      <w:r>
        <w:rPr>
          <w:rFonts w:ascii="Times New Roman" w:hAnsi="Times New Roman" w:eastAsia="仿宋" w:cs="Times New Roman"/>
          <w:b w:val="0"/>
          <w:sz w:val="28"/>
        </w:rPr>
        <w:t>财团内部通过设立特殊目的公司（SPV）来实施要约收购，出资比例根据各方谈判结果确定。据公开资料，周鸿祎及其关联方出资比例最高，确保私有化后对公司的实际控制权。然而，财团内部存在潜在利益冲突：财务投资者倾向于快速上市并减持获利，而管理层可能更关注长期业务发展。为协调分歧，私有化协议中设置了锁定期与退出机制——例如部分投资者承诺上市后一定时间内不减持。</w:t>
      </w:r>
    </w:p>
    <w:p>
      <w:pPr>
        <w:spacing w:before="0" w:after="0" w:line="240" w:lineRule="auto" w:beforeLines="0" w:afterLines="0"/>
        <w:jc w:val="both"/>
        <w:ind w:firstLineChars="200"/>
      </w:pPr>
      <w:r>
        <w:rPr>
          <w:rFonts w:ascii="Times New Roman" w:hAnsi="Times New Roman" w:eastAsia="仿宋" w:cs="Times New Roman"/>
          <w:b w:val="0"/>
          <w:sz w:val="28"/>
        </w:rPr>
        <w:t>这种财团结构的成功关键在于：一是分层出资降低了任何单一参与方的出资压力，尤其在高杠杆融资情况下；二是利益绑定通过锁定期和业绩对赌实现了</w:t>
      </w:r>
      <w:r>
        <w:rPr>
          <w:rFonts w:ascii="Times New Roman" w:hAnsi="Times New Roman" w:eastAsia="Times New Roman" w:cs="Times New Roman"/>
          <w:b w:val="0"/>
          <w:sz w:val="28"/>
        </w:rPr>
        <w:t>“</w:t>
      </w:r>
      <w:r>
        <w:rPr>
          <w:rFonts w:ascii="Times New Roman" w:hAnsi="Times New Roman" w:eastAsia="仿宋" w:cs="Times New Roman"/>
          <w:b w:val="0"/>
          <w:sz w:val="28"/>
        </w:rPr>
        <w:t>同股同命</w:t>
      </w:r>
      <w:r>
        <w:rPr>
          <w:rFonts w:ascii="Times New Roman" w:hAnsi="Times New Roman" w:eastAsia="Times New Roman" w:cs="Times New Roman"/>
          <w:b w:val="0"/>
          <w:sz w:val="28"/>
        </w:rPr>
        <w:t>”</w:t>
      </w:r>
      <w:r>
        <w:rPr>
          <w:rFonts w:ascii="Times New Roman" w:hAnsi="Times New Roman" w:eastAsia="仿宋" w:cs="Times New Roman"/>
          <w:b w:val="0"/>
          <w:sz w:val="28"/>
        </w:rPr>
        <w:t>。但风险也随之而来：财务投资者若急于退出，可能施压管理层过度追求短期利润，从而牺牲研发或长期战略投入。这种张力在回归后的业绩对赌期内尤为明显，也是中概股私有化财团设计中必须提前应对的治理问题。</w:t>
      </w:r>
    </w:p>
    <w:p>
      <w:pPr>
        <w:spacing w:before="0" w:after="0" w:line="240" w:lineRule="auto" w:beforeLines="0" w:afterLines="0"/>
        <w:jc w:val="left"/>
        <w:ind w:firstLineChars="200"/>
      </w:pPr>
      <w:r>
        <w:rPr>
          <w:rFonts w:ascii="Times New Roman" w:hAnsi="Times New Roman" w:eastAsia="仿宋" w:cs="Times New Roman"/>
          <w:b/>
          <w:sz w:val="28"/>
        </w:rPr>
        <w:t>三、跨境资金与监管破局：内保外贷组合下的融资安排与债务压力</w:t>
      </w:r>
    </w:p>
    <w:p>
      <w:pPr>
        <w:spacing w:before="0" w:after="0" w:line="240" w:lineRule="auto" w:beforeLines="0" w:afterLines="0"/>
        <w:jc w:val="both"/>
        <w:ind w:firstLineChars="200"/>
      </w:pPr>
      <w:r>
        <w:rPr>
          <w:rFonts w:ascii="Times New Roman" w:hAnsi="Times New Roman" w:eastAsia="仿宋" w:cs="Times New Roman"/>
          <w:b w:val="0"/>
          <w:sz w:val="28"/>
        </w:rPr>
        <w:t>私有化交易总计需要约93亿美元资金，其中约35亿美元为股权融资（财团自有资金），剩余约58亿美元为债务融资。债务部分由中资银行组成的银团提供贷款，但涉及跨境资金汇出需要外汇管理部门的审批。当时中国正处于资本外流管控收紧的时期，大额资金出境面临严格审查。360采取</w:t>
      </w:r>
      <w:r>
        <w:rPr>
          <w:rFonts w:ascii="Times New Roman" w:hAnsi="Times New Roman" w:eastAsia="Times New Roman" w:cs="Times New Roman"/>
          <w:b w:val="0"/>
          <w:sz w:val="28"/>
        </w:rPr>
        <w:t>“</w:t>
      </w:r>
      <w:r>
        <w:rPr>
          <w:rFonts w:ascii="Times New Roman" w:hAnsi="Times New Roman" w:eastAsia="仿宋" w:cs="Times New Roman"/>
          <w:b w:val="0"/>
          <w:sz w:val="28"/>
        </w:rPr>
        <w:t>内保外贷</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境外贷款</w:t>
      </w:r>
      <w:r>
        <w:rPr>
          <w:rFonts w:ascii="Times New Roman" w:hAnsi="Times New Roman" w:eastAsia="Times New Roman" w:cs="Times New Roman"/>
          <w:b w:val="0"/>
          <w:sz w:val="28"/>
        </w:rPr>
        <w:t>”</w:t>
      </w:r>
      <w:r>
        <w:rPr>
          <w:rFonts w:ascii="Times New Roman" w:hAnsi="Times New Roman" w:eastAsia="仿宋" w:cs="Times New Roman"/>
          <w:b w:val="0"/>
          <w:sz w:val="28"/>
        </w:rPr>
        <w:t>组合模式：境内财团成员通过质押境内资产或信用担保，由中资银行的境外分支机构向买方财团发放美元贷款，然后用于收购美股股份。这种结构规避了直接换汇出境的政策障碍，但增加了融资成本与杠杆风险。</w:t>
      </w:r>
    </w:p>
    <w:p>
      <w:pPr>
        <w:spacing w:before="0" w:after="0" w:line="240" w:lineRule="auto" w:beforeLines="0" w:afterLines="0"/>
        <w:jc w:val="both"/>
        <w:ind w:firstLineChars="200"/>
      </w:pPr>
      <w:r>
        <w:rPr>
          <w:rFonts w:ascii="Times New Roman" w:hAnsi="Times New Roman" w:eastAsia="仿宋" w:cs="Times New Roman"/>
          <w:b w:val="0"/>
          <w:sz w:val="28"/>
        </w:rPr>
        <w:t>财务影响层面，高杠杆融资要求私有化后尽快实现A股上市融资以偿还债务，这直接影响了路径选择——借壳上市比IPO的审核周期更短。但债务利息支出也挤压利润空间，使得业绩对赌的达成难度增加。据公开资料，私有化完成后360背负了较大规模的债务，资产负债率显著上升。这提示并购前应详细测算融资结构对后续现金流的影响，包括利率变动、汇率波动以及再融资可行性。</w:t>
      </w:r>
    </w:p>
    <w:p>
      <w:pPr>
        <w:spacing w:before="0" w:after="0" w:line="240" w:lineRule="auto" w:beforeLines="0" w:afterLines="0"/>
        <w:jc w:val="both"/>
        <w:ind w:firstLineChars="200"/>
      </w:pPr>
      <w:r>
        <w:rPr>
          <w:rFonts w:ascii="Times New Roman" w:hAnsi="Times New Roman" w:eastAsia="仿宋" w:cs="Times New Roman"/>
          <w:b w:val="0"/>
          <w:sz w:val="28"/>
        </w:rPr>
        <w:t>从交易结构看，跨境资金安排是私有化交易成败的关键一环。360的案例证明，</w:t>
      </w:r>
      <w:r>
        <w:rPr>
          <w:rFonts w:ascii="Times New Roman" w:hAnsi="Times New Roman" w:eastAsia="Times New Roman" w:cs="Times New Roman"/>
          <w:b w:val="0"/>
          <w:sz w:val="28"/>
        </w:rPr>
        <w:t>“</w:t>
      </w:r>
      <w:r>
        <w:rPr>
          <w:rFonts w:ascii="Times New Roman" w:hAnsi="Times New Roman" w:eastAsia="仿宋" w:cs="Times New Roman"/>
          <w:b w:val="0"/>
          <w:sz w:val="28"/>
        </w:rPr>
        <w:t>内保外贷</w:t>
      </w:r>
      <w:r>
        <w:rPr>
          <w:rFonts w:ascii="Times New Roman" w:hAnsi="Times New Roman" w:eastAsia="Times New Roman" w:cs="Times New Roman"/>
          <w:b w:val="0"/>
          <w:sz w:val="28"/>
        </w:rPr>
        <w:t>”</w:t>
      </w:r>
      <w:r>
        <w:rPr>
          <w:rFonts w:ascii="Times New Roman" w:hAnsi="Times New Roman" w:eastAsia="仿宋" w:cs="Times New Roman"/>
          <w:b w:val="0"/>
          <w:sz w:val="28"/>
        </w:rPr>
        <w:t>模式虽能解决短期资金出境问题，但本质上将境内信用风险转移给境外贷款机构，若回归后未能及时还贷，可能引发交叉违约。因此，买方在融资计划中应预留足够的流动性缓冲，并确保上市融资进度与偿债时间表匹配。</w:t>
      </w:r>
    </w:p>
    <w:p>
      <w:pPr>
        <w:spacing w:before="0" w:after="0" w:line="240" w:lineRule="auto" w:beforeLines="0" w:afterLines="0"/>
        <w:jc w:val="left"/>
        <w:ind w:firstLineChars="200"/>
      </w:pPr>
      <w:r>
        <w:rPr>
          <w:rFonts w:ascii="Times New Roman" w:hAnsi="Times New Roman" w:eastAsia="仿宋" w:cs="Times New Roman"/>
          <w:b/>
          <w:sz w:val="28"/>
        </w:rPr>
        <w:t>四、借壳江南嘉捷：资产重组、业绩对赌与估值压力的闭环设计</w:t>
      </w:r>
    </w:p>
    <w:p>
      <w:pPr>
        <w:spacing w:before="0" w:after="0" w:line="240" w:lineRule="auto" w:beforeLines="0" w:afterLines="0"/>
        <w:jc w:val="both"/>
        <w:ind w:firstLineChars="200"/>
      </w:pPr>
      <w:r>
        <w:rPr>
          <w:rFonts w:ascii="Times New Roman" w:hAnsi="Times New Roman" w:eastAsia="仿宋" w:cs="Times New Roman"/>
          <w:b w:val="0"/>
          <w:sz w:val="28"/>
        </w:rPr>
        <w:t>2017年11月，360宣布通过借壳江南嘉捷电梯股份有限公司（下称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江南嘉捷</w:t>
      </w:r>
      <w:r>
        <w:rPr>
          <w:rFonts w:ascii="Times New Roman" w:hAnsi="Times New Roman" w:eastAsia="Times New Roman" w:cs="Times New Roman"/>
          <w:b w:val="0"/>
          <w:sz w:val="28"/>
        </w:rPr>
        <w:t>”</w:t>
      </w:r>
      <w:r>
        <w:rPr>
          <w:rFonts w:ascii="Times New Roman" w:hAnsi="Times New Roman" w:eastAsia="仿宋" w:cs="Times New Roman"/>
          <w:b w:val="0"/>
          <w:sz w:val="28"/>
        </w:rPr>
        <w:t>，SH：601313）实现A股上市。重组方案分为三步：首先，江南嘉捷将全部资产及负债出售给实际控制人；其次，江南嘉捷向360全体股东发行股份购买其持有的100%股权；最后，发行股份募集配套资金。360整体作价约504亿元（根据重组报告书），对应预测净利润市盈率远低于A股同类公司估值，这种定价既考虑了监管审批的合理估值要求，也为上市后市值上涨预留空间。</w:t>
      </w:r>
    </w:p>
    <w:p>
      <w:pPr>
        <w:spacing w:before="0" w:after="0" w:line="240" w:lineRule="auto" w:beforeLines="0" w:afterLines="0"/>
        <w:jc w:val="both"/>
        <w:ind w:firstLineChars="200"/>
      </w:pPr>
      <w:r>
        <w:rPr>
          <w:rFonts w:ascii="Times New Roman" w:hAnsi="Times New Roman" w:eastAsia="仿宋" w:cs="Times New Roman"/>
          <w:b w:val="0"/>
          <w:sz w:val="28"/>
        </w:rPr>
        <w:t>交易设置了业绩对赌协议：360承诺2017年至2019年扣非净利润分别不低于约22亿元、29亿元和38亿元。据公开资料，实际业绩完成情况未完全达标，需以股份和现金方式补偿。这一对赌条款既是为了保护中小股东利益，也是监管审批的必然要求。借壳完成后，上市公司更名为三六零安全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三六零</w:t>
      </w:r>
      <w:r>
        <w:rPr>
          <w:rFonts w:ascii="Times New Roman" w:hAnsi="Times New Roman" w:eastAsia="Times New Roman" w:cs="Times New Roman"/>
          <w:b w:val="0"/>
          <w:sz w:val="28"/>
        </w:rPr>
        <w:t>”</w:t>
      </w:r>
      <w:r>
        <w:rPr>
          <w:rFonts w:ascii="Times New Roman" w:hAnsi="Times New Roman" w:eastAsia="仿宋" w:cs="Times New Roman"/>
          <w:b w:val="0"/>
          <w:sz w:val="28"/>
        </w:rPr>
        <w:t>，SH：601360）。交割承接过程中涉及资产剥离、审计法律合规以及证监会、商务部、外管局等多部门审批，360的方案设计充分考虑了借壳认定标准，避免触发更严格的审查。</w:t>
      </w:r>
    </w:p>
    <w:p>
      <w:pPr>
        <w:spacing w:before="0" w:after="0" w:line="240" w:lineRule="auto" w:beforeLines="0" w:afterLines="0"/>
        <w:jc w:val="both"/>
        <w:ind w:firstLineChars="200"/>
      </w:pPr>
      <w:r>
        <w:rPr>
          <w:rFonts w:ascii="Times New Roman" w:hAnsi="Times New Roman" w:eastAsia="仿宋" w:cs="Times New Roman"/>
          <w:b w:val="0"/>
          <w:sz w:val="28"/>
        </w:rPr>
        <w:t>估值与业绩压力的矛盾在这一环节集中体现：504亿元的作价基于未来业绩的高增长预期，但实际经营中行业竞争加剧、移动端变现能力不足等因素导致利润未达承诺。这揭示了中概股回归中常见的</w:t>
      </w:r>
      <w:r>
        <w:rPr>
          <w:rFonts w:ascii="Times New Roman" w:hAnsi="Times New Roman" w:eastAsia="Times New Roman" w:cs="Times New Roman"/>
          <w:b w:val="0"/>
          <w:sz w:val="28"/>
        </w:rPr>
        <w:t>“</w:t>
      </w:r>
      <w:r>
        <w:rPr>
          <w:rFonts w:ascii="Times New Roman" w:hAnsi="Times New Roman" w:eastAsia="仿宋" w:cs="Times New Roman"/>
          <w:b w:val="0"/>
          <w:sz w:val="28"/>
        </w:rPr>
        <w:t>估值倒挂</w:t>
      </w:r>
      <w:r>
        <w:rPr>
          <w:rFonts w:ascii="Times New Roman" w:hAnsi="Times New Roman" w:eastAsia="Times New Roman" w:cs="Times New Roman"/>
          <w:b w:val="0"/>
          <w:sz w:val="28"/>
        </w:rPr>
        <w:t>”</w:t>
      </w:r>
      <w:r>
        <w:rPr>
          <w:rFonts w:ascii="Times New Roman" w:hAnsi="Times New Roman" w:eastAsia="仿宋" w:cs="Times New Roman"/>
          <w:b w:val="0"/>
          <w:sz w:val="28"/>
        </w:rPr>
        <w:t>风险：私有化时基于A股估值倍数给出高溢价，而借壳时对价已隐含业绩高增假设，但回归后的真实增长难以匹配市场预期。因此，中概股在制定业绩对赌目标时应基于保守预测，并设置弹性调整机制，而非一味追求高市值。</w:t>
      </w:r>
    </w:p>
    <w:p>
      <w:pPr>
        <w:spacing w:before="0" w:after="0" w:line="240" w:lineRule="auto" w:beforeLines="0" w:afterLines="0"/>
        <w:jc w:val="both"/>
        <w:ind w:firstLineChars="200"/>
      </w:pPr>
      <w:r>
        <w:rPr>
          <w:rFonts w:ascii="Times New Roman" w:hAnsi="Times New Roman" w:eastAsia="仿宋" w:cs="Times New Roman"/>
          <w:b w:val="0"/>
          <w:sz w:val="28"/>
        </w:rPr>
        <w:t>从并购方法论角度看，借壳方案的选择本身就包含了对时间成本和审核风险的判断。相比IPO长达数年的排队，借壳江南嘉捷使360在约8个月内完成审核，大幅缩短了上市周期。但这要求壳公司干净、无潜在法律纠纷，且借壳方案不触发</w:t>
      </w:r>
      <w:r>
        <w:rPr>
          <w:rFonts w:ascii="Times New Roman" w:hAnsi="Times New Roman" w:eastAsia="Times New Roman" w:cs="Times New Roman"/>
          <w:b w:val="0"/>
          <w:sz w:val="28"/>
        </w:rPr>
        <w:t>“</w:t>
      </w:r>
      <w:r>
        <w:rPr>
          <w:rFonts w:ascii="Times New Roman" w:hAnsi="Times New Roman" w:eastAsia="仿宋" w:cs="Times New Roman"/>
          <w:b w:val="0"/>
          <w:sz w:val="28"/>
        </w:rPr>
        <w:t>重组上市</w:t>
      </w:r>
      <w:r>
        <w:rPr>
          <w:rFonts w:ascii="Times New Roman" w:hAnsi="Times New Roman" w:eastAsia="Times New Roman" w:cs="Times New Roman"/>
          <w:b w:val="0"/>
          <w:sz w:val="28"/>
        </w:rPr>
        <w:t>”</w:t>
      </w:r>
      <w:r>
        <w:rPr>
          <w:rFonts w:ascii="Times New Roman" w:hAnsi="Times New Roman" w:eastAsia="仿宋" w:cs="Times New Roman"/>
          <w:b w:val="0"/>
          <w:sz w:val="28"/>
        </w:rPr>
        <w:t>的严格认定。360通过资产置出、避免控制权变更认定等方法成功规避了更严审核。这一经验可被后续中概股参考：选择壳公司时需优先考虑市值小、主业下滑、股权清晰、无违规记录的标的，并设计股份发行方案以确保控制权稳定。</w:t>
      </w:r>
    </w:p>
    <w:p>
      <w:pPr>
        <w:spacing w:before="0" w:after="0" w:line="240" w:lineRule="auto" w:beforeLines="0" w:afterLines="0"/>
        <w:jc w:val="left"/>
        <w:ind w:firstLineChars="200"/>
      </w:pPr>
      <w:r>
        <w:rPr>
          <w:rFonts w:ascii="Times New Roman" w:hAnsi="Times New Roman" w:eastAsia="仿宋" w:cs="Times New Roman"/>
          <w:b/>
          <w:sz w:val="28"/>
        </w:rPr>
        <w:t>五、监管合规与市场反应：回归后估值波动与业绩兑现的错位</w:t>
      </w:r>
    </w:p>
    <w:p>
      <w:pPr>
        <w:spacing w:before="0" w:after="0" w:line="240" w:lineRule="auto" w:beforeLines="0" w:afterLines="0"/>
        <w:jc w:val="both"/>
        <w:ind w:firstLineChars="200"/>
      </w:pPr>
      <w:r>
        <w:rPr>
          <w:rFonts w:ascii="Times New Roman" w:hAnsi="Times New Roman" w:eastAsia="仿宋" w:cs="Times New Roman"/>
          <w:b w:val="0"/>
          <w:sz w:val="28"/>
        </w:rPr>
        <w:t>360私有化涉及中美两地监管机构。在美国，私有化需要遵守SEC规则并保护中小股东权益，包括成立特别委员会、聘请独立顾问、披露潜在利益冲突等。在国内，需要经过国家发改委、商务部、外汇管理局、证监会等多部门审批。尤其是借壳上市阶段，中国证监会对中概股回归的审核一度收紧，360的方案设计充分考虑了借壳认定标准，避免了构成</w:t>
      </w:r>
      <w:r>
        <w:rPr>
          <w:rFonts w:ascii="Times New Roman" w:hAnsi="Times New Roman" w:eastAsia="Times New Roman" w:cs="Times New Roman"/>
          <w:b w:val="0"/>
          <w:sz w:val="28"/>
        </w:rPr>
        <w:t>“</w:t>
      </w:r>
      <w:r>
        <w:rPr>
          <w:rFonts w:ascii="Times New Roman" w:hAnsi="Times New Roman" w:eastAsia="仿宋" w:cs="Times New Roman"/>
          <w:b w:val="0"/>
          <w:sz w:val="28"/>
        </w:rPr>
        <w:t>重组上市</w:t>
      </w:r>
      <w:r>
        <w:rPr>
          <w:rFonts w:ascii="Times New Roman" w:hAnsi="Times New Roman" w:eastAsia="Times New Roman" w:cs="Times New Roman"/>
          <w:b w:val="0"/>
          <w:sz w:val="28"/>
        </w:rPr>
        <w:t>”</w:t>
      </w:r>
      <w:r>
        <w:rPr>
          <w:rFonts w:ascii="Times New Roman" w:hAnsi="Times New Roman" w:eastAsia="仿宋" w:cs="Times New Roman"/>
          <w:b w:val="0"/>
          <w:sz w:val="28"/>
        </w:rPr>
        <w:t>的严格审查，从而减少了审核阻力。</w:t>
      </w:r>
    </w:p>
    <w:p>
      <w:pPr>
        <w:spacing w:before="0" w:after="0" w:line="240" w:lineRule="auto" w:beforeLines="0" w:afterLines="0"/>
        <w:jc w:val="both"/>
        <w:ind w:firstLineChars="200"/>
      </w:pPr>
      <w:r>
        <w:rPr>
          <w:rFonts w:ascii="Times New Roman" w:hAnsi="Times New Roman" w:eastAsia="仿宋" w:cs="Times New Roman"/>
          <w:b w:val="0"/>
          <w:sz w:val="28"/>
        </w:rPr>
        <w:t>市场反应方面，借壳公告后江南嘉捷连续涨停，三六零上市后市值一度超过4，000亿元，但随后逐步回落至约1，000亿元。这种大幅波动暴露了估值泡沫的风险：私有化报价对应估值约93亿美元（约600亿元人民币），借壳作价约504亿元，而上市初期市值飙升至4，000亿元，远超基本面对应的合理范围。估值回归的过程表明，资本市场终将校正泡沫，私有化投资者若不能在高位减持，可能面临回报不达预期的风险。</w:t>
      </w:r>
    </w:p>
    <w:p>
      <w:pPr>
        <w:spacing w:before="0" w:after="0" w:line="240" w:lineRule="auto" w:beforeLines="0" w:afterLines="0"/>
        <w:jc w:val="both"/>
        <w:ind w:firstLineChars="200"/>
      </w:pPr>
      <w:r>
        <w:rPr>
          <w:rFonts w:ascii="Times New Roman" w:hAnsi="Times New Roman" w:eastAsia="仿宋" w:cs="Times New Roman"/>
          <w:b w:val="0"/>
          <w:sz w:val="28"/>
        </w:rPr>
        <w:t>从并购方法论意义看，360案例为后续中概股私有化提供了</w:t>
      </w:r>
      <w:r>
        <w:rPr>
          <w:rFonts w:ascii="Times New Roman" w:hAnsi="Times New Roman" w:eastAsia="Times New Roman" w:cs="Times New Roman"/>
          <w:b w:val="0"/>
          <w:sz w:val="28"/>
        </w:rPr>
        <w:t>“</w:t>
      </w:r>
      <w:r>
        <w:rPr>
          <w:rFonts w:ascii="Times New Roman" w:hAnsi="Times New Roman" w:eastAsia="仿宋" w:cs="Times New Roman"/>
          <w:b w:val="0"/>
          <w:sz w:val="28"/>
        </w:rPr>
        <w:t>标准版</w:t>
      </w:r>
      <w:r>
        <w:rPr>
          <w:rFonts w:ascii="Times New Roman" w:hAnsi="Times New Roman" w:eastAsia="Times New Roman" w:cs="Times New Roman"/>
          <w:b w:val="0"/>
          <w:sz w:val="28"/>
        </w:rPr>
        <w:t>”</w:t>
      </w:r>
      <w:r>
        <w:rPr>
          <w:rFonts w:ascii="Times New Roman" w:hAnsi="Times New Roman" w:eastAsia="仿宋" w:cs="Times New Roman"/>
          <w:b w:val="0"/>
          <w:sz w:val="28"/>
        </w:rPr>
        <w:t>路径模型：组建多元化财团分散资金压力，采用内保外贷突破外汇管制，选择借壳缩短上市周期，通过业绩对赌获得监管和市场认可。但该模型的核心缺陷在于对业务增长过于乐观，且杠杆过高。后续案例可借鉴的关键改进包括：降低债务融资比例、设置业绩对赌的柔性条款（如调整期、豁免机制），以及上市后逐步释放股份而非一次性冲高。</w:t>
      </w:r>
    </w:p>
    <w:p>
      <w:pPr>
        <w:spacing w:before="0" w:after="0" w:line="240" w:lineRule="auto" w:beforeLines="0" w:afterLines="0"/>
        <w:jc w:val="left"/>
        <w:ind w:firstLineChars="200"/>
      </w:pPr>
      <w:r>
        <w:rPr>
          <w:rFonts w:ascii="Times New Roman" w:hAnsi="Times New Roman" w:eastAsia="仿宋" w:cs="Times New Roman"/>
          <w:b/>
          <w:sz w:val="28"/>
        </w:rPr>
        <w:t>六、结语：估值回归与业务基本面再平衡的长期启示</w:t>
      </w:r>
    </w:p>
    <w:p>
      <w:pPr>
        <w:spacing w:before="0" w:after="0" w:line="240" w:lineRule="auto" w:beforeLines="0" w:afterLines="0"/>
        <w:jc w:val="both"/>
        <w:ind w:firstLineChars="200"/>
      </w:pPr>
      <w:r>
        <w:rPr>
          <w:rFonts w:ascii="Times New Roman" w:hAnsi="Times New Roman" w:eastAsia="仿宋" w:cs="Times New Roman"/>
          <w:b w:val="0"/>
          <w:sz w:val="28"/>
        </w:rPr>
        <w:t>360私有化回归A股的案例展示了中概股</w:t>
      </w:r>
      <w:r>
        <w:rPr>
          <w:rFonts w:ascii="Times New Roman" w:hAnsi="Times New Roman" w:eastAsia="Times New Roman" w:cs="Times New Roman"/>
          <w:b w:val="0"/>
          <w:sz w:val="28"/>
        </w:rPr>
        <w:t>“</w:t>
      </w:r>
      <w:r>
        <w:rPr>
          <w:rFonts w:ascii="Times New Roman" w:hAnsi="Times New Roman" w:eastAsia="仿宋" w:cs="Times New Roman"/>
          <w:b w:val="0"/>
          <w:sz w:val="28"/>
        </w:rPr>
        <w:t>私有化+境内上市</w:t>
      </w:r>
      <w:r>
        <w:rPr>
          <w:rFonts w:ascii="Times New Roman" w:hAnsi="Times New Roman" w:eastAsia="Times New Roman" w:cs="Times New Roman"/>
          <w:b w:val="0"/>
          <w:sz w:val="28"/>
        </w:rPr>
        <w:t>”</w:t>
      </w:r>
      <w:r>
        <w:rPr>
          <w:rFonts w:ascii="Times New Roman" w:hAnsi="Times New Roman" w:eastAsia="仿宋" w:cs="Times New Roman"/>
          <w:b w:val="0"/>
          <w:sz w:val="28"/>
        </w:rPr>
        <w:t>的完整路径：通过财团SPV结构筹集资金、借助跨境融资安排突破外汇管制、选择借壳江南嘉捷缩短上市周期，并以业绩对赌换取监管认可。然而，回归后的高估值并未持续——三六零的市值从最高超过4，000亿元回落至约1，000亿元，暴露出估值泡沫与业绩可持续性的矛盾。究其原因，移动互联网时代的转型压力、安全业务的增长瓶颈以及竞争加剧，使得对赌期后的真实盈利未能达到市场预期。</w:t>
      </w:r>
    </w:p>
    <w:p>
      <w:pPr>
        <w:spacing w:before="0" w:after="0" w:line="240" w:lineRule="auto" w:beforeLines="0" w:afterLines="0"/>
        <w:jc w:val="both"/>
        <w:ind w:firstLineChars="200"/>
      </w:pPr>
      <w:r>
        <w:rPr>
          <w:rFonts w:ascii="Times New Roman" w:hAnsi="Times New Roman" w:eastAsia="仿宋" w:cs="Times New Roman"/>
          <w:b w:val="0"/>
          <w:sz w:val="28"/>
        </w:rPr>
        <w:t>360案例的核心启示在于：私有化前的产业判断必须验证</w:t>
      </w:r>
      <w:r>
        <w:rPr>
          <w:rFonts w:ascii="Times New Roman" w:hAnsi="Times New Roman" w:eastAsia="Times New Roman" w:cs="Times New Roman"/>
          <w:b w:val="0"/>
          <w:sz w:val="28"/>
        </w:rPr>
        <w:t>“</w:t>
      </w:r>
      <w:r>
        <w:rPr>
          <w:rFonts w:ascii="Times New Roman" w:hAnsi="Times New Roman" w:eastAsia="仿宋" w:cs="Times New Roman"/>
          <w:b w:val="0"/>
          <w:sz w:val="28"/>
        </w:rPr>
        <w:t>估值套利是否基于业务基本面</w:t>
      </w:r>
      <w:r>
        <w:rPr>
          <w:rFonts w:ascii="Times New Roman" w:hAnsi="Times New Roman" w:eastAsia="Times New Roman" w:cs="Times New Roman"/>
          <w:b w:val="0"/>
          <w:sz w:val="28"/>
        </w:rPr>
        <w:t>”</w:t>
      </w:r>
      <w:r>
        <w:rPr>
          <w:rFonts w:ascii="Times New Roman" w:hAnsi="Times New Roman" w:eastAsia="仿宋" w:cs="Times New Roman"/>
          <w:b w:val="0"/>
          <w:sz w:val="28"/>
        </w:rPr>
        <w:t>，交易结构中的资金杠杆需预留安全边际，借壳方案应平衡对赌压力与长期发展。对于后续中概股回归决策，应优先审视标的的行业竞争格局、用户迁移风险和偿债能力，避免为追求估值溢价而忽视业务承载。从并购方法论角度，360案例验证了私有化中资料核验的重要性：买方在尽调时需交叉验证美股财务数据与A股上市要求的差异，对业绩对赌的可行性做压力测试，并在交割后建立有效的整合监控机制。唯如此，中概股回归才能从资本操作走向价值创造。</w:t>
      </w:r>
    </w:p>
    <w:p>
      <w:pPr>
        <w:spacing w:before="0" w:after="0" w:line="240" w:lineRule="auto" w:beforeLines="0" w:afterLines="0"/>
        <w:jc w:val="both"/>
        <w:ind w:firstLineChars="200"/>
      </w:pPr>
      <w:r>
        <w:rPr>
          <w:rFonts w:ascii="Times New Roman" w:hAnsi="Times New Roman" w:eastAsia="仿宋" w:cs="Times New Roman"/>
          <w:b w:val="0"/>
          <w:sz w:val="28"/>
        </w:rPr>
        <w:t>总之，360私有化交易结构设计的精巧性值得肯定，但其高杠杆与业绩对赌风险说明，再完美的交易结构也无法替代扎实的业务基本面。本案例最值得记住的教训是：私有化回归不应是终点，而是企业价值重塑的起点；资本套利只能提供短期的估值红利，持续的产业竞争力才是长期市值管理的根基。</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