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微牛证券通过SPAC收购上市：交易复盘</w:t>
      </w:r>
    </w:p>
    <w:p>
      <w:pPr>
        <w:spacing w:before="0" w:after="0" w:line="240" w:lineRule="auto" w:beforeLines="0" w:afterLines="0"/>
        <w:jc w:val="both"/>
        <w:ind w:firstLineChars="200"/>
      </w:pPr>
      <w:r>
        <w:rPr>
          <w:rFonts w:ascii="Times New Roman" w:hAnsi="Times New Roman" w:eastAsia="仿宋" w:cs="Times New Roman"/>
          <w:b w:val="0"/>
          <w:sz w:val="28"/>
        </w:rPr>
        <w:t>2025年，微牛证券（Webull Securities，下称</w:t>
      </w:r>
      <w:r>
        <w:rPr>
          <w:rFonts w:ascii="Times New Roman" w:hAnsi="Times New Roman" w:eastAsia="Times New Roman" w:cs="Times New Roman"/>
          <w:b w:val="0"/>
          <w:sz w:val="28"/>
        </w:rPr>
        <w:t>“</w:t>
      </w:r>
      <w:r>
        <w:rPr>
          <w:rFonts w:ascii="Times New Roman" w:hAnsi="Times New Roman" w:eastAsia="仿宋" w:cs="Times New Roman"/>
          <w:b w:val="0"/>
          <w:sz w:val="28"/>
        </w:rPr>
        <w:t>微牛</w:t>
      </w:r>
      <w:r>
        <w:rPr>
          <w:rFonts w:ascii="Times New Roman" w:hAnsi="Times New Roman" w:eastAsia="Times New Roman" w:cs="Times New Roman"/>
          <w:b w:val="0"/>
          <w:sz w:val="28"/>
        </w:rPr>
        <w:t>”</w:t>
      </w:r>
      <w:r>
        <w:rPr>
          <w:rFonts w:ascii="Times New Roman" w:hAnsi="Times New Roman" w:eastAsia="仿宋" w:cs="Times New Roman"/>
          <w:b w:val="0"/>
          <w:sz w:val="28"/>
        </w:rPr>
        <w:t>）通过与一家特殊目的收购公司（SPAC）合并完成上市（下称</w:t>
      </w:r>
      <w:r>
        <w:rPr>
          <w:rFonts w:ascii="Times New Roman" w:hAnsi="Times New Roman" w:eastAsia="Times New Roman" w:cs="Times New Roman"/>
          <w:b w:val="0"/>
          <w:sz w:val="28"/>
        </w:rPr>
        <w:t>“</w:t>
      </w:r>
      <w:r>
        <w:rPr>
          <w:rFonts w:ascii="Times New Roman" w:hAnsi="Times New Roman" w:eastAsia="仿宋" w:cs="Times New Roman"/>
          <w:b w:val="0"/>
          <w:sz w:val="28"/>
        </w:rPr>
        <w:t>上市</w:t>
      </w:r>
      <w:r>
        <w:rPr>
          <w:rFonts w:ascii="Times New Roman" w:hAnsi="Times New Roman" w:eastAsia="Times New Roman" w:cs="Times New Roman"/>
          <w:b w:val="0"/>
          <w:sz w:val="28"/>
        </w:rPr>
        <w:t>”</w:t>
      </w:r>
      <w:r>
        <w:rPr>
          <w:rFonts w:ascii="Times New Roman" w:hAnsi="Times New Roman" w:eastAsia="仿宋" w:cs="Times New Roman"/>
          <w:b w:val="0"/>
          <w:sz w:val="28"/>
        </w:rPr>
        <w:t>），成为近年中概金融科技企业SPAC上市的代表案例。然而，交易金额、估值、支付方式等关键数字均未在公开资料中披露。对于关注SPAC上市路径的企业家而言，这一信息缺口本身即构成重要的分析起点：当数据稀缺时，如何从产业逻辑、结构共通性与监管环境切入，重建交易的全貌？本案例基于公开可得的有限线索，从行业共性、典型SPAC机制及中概监管背景出发，对微牛上市案进行结构推演与产业研判，旨在为决策者提供一套在信息不完整条件下仍可操作的复盘框架。</w:t>
      </w:r>
    </w:p>
    <w:p>
      <w:pPr>
        <w:spacing w:before="0" w:after="0" w:line="240" w:lineRule="auto" w:beforeLines="0" w:afterLines="0"/>
        <w:jc w:val="left"/>
        <w:ind w:firstLineChars="200"/>
      </w:pPr>
      <w:r>
        <w:rPr>
          <w:rFonts w:ascii="Times New Roman" w:hAnsi="Times New Roman" w:eastAsia="仿宋" w:cs="Times New Roman"/>
          <w:b/>
          <w:sz w:val="28"/>
        </w:rPr>
        <w:t>一、已知与未知的边界：从有限信息建立分析准绳</w:t>
      </w:r>
    </w:p>
    <w:p>
      <w:pPr>
        <w:spacing w:before="0" w:after="0" w:line="240" w:lineRule="auto" w:beforeLines="0" w:afterLines="0"/>
        <w:jc w:val="both"/>
        <w:ind w:firstLineChars="200"/>
      </w:pPr>
      <w:r>
        <w:rPr>
          <w:rFonts w:ascii="Times New Roman" w:hAnsi="Times New Roman" w:eastAsia="仿宋" w:cs="Times New Roman"/>
          <w:b w:val="0"/>
          <w:sz w:val="28"/>
        </w:rPr>
        <w:t>微牛是一家面向全球个人投资者的金融科技公司，核心业务为零售经纪与财富管理，主要服务于美股、港股及多市场交易客户。2025年，微牛通过与一家SPAC合并完成上市，但具体交易对手名称、合并协议条款、交易对价及融资细节均未公开披露。确认的信息仅限于：交易已完成，时间线仅知为2025年；首次公告、签约及监管审批时点均无披露。这种披露有限的情形在SPAC交易中并不罕见——当SPAC发起人为非上市公司或选择简化披露时，合并后主体可能仅发布简要新闻稿，而非提交完整的SEC登记声明。因此，分析此案例的首要步骤是明确</w:t>
      </w:r>
      <w:r>
        <w:rPr>
          <w:rFonts w:ascii="Times New Roman" w:hAnsi="Times New Roman" w:eastAsia="Times New Roman" w:cs="Times New Roman"/>
          <w:b w:val="0"/>
          <w:sz w:val="28"/>
        </w:rPr>
        <w:t>“</w:t>
      </w:r>
      <w:r>
        <w:rPr>
          <w:rFonts w:ascii="Times New Roman" w:hAnsi="Times New Roman" w:eastAsia="仿宋" w:cs="Times New Roman"/>
          <w:b w:val="0"/>
          <w:sz w:val="28"/>
        </w:rPr>
        <w:t>已知</w:t>
      </w:r>
      <w:r>
        <w:rPr>
          <w:rFonts w:ascii="Times New Roman" w:hAnsi="Times New Roman" w:eastAsia="Times New Roman" w:cs="Times New Roman"/>
          <w:b w:val="0"/>
          <w:sz w:val="28"/>
        </w:rPr>
        <w:t>”</w:t>
      </w:r>
      <w:r>
        <w:rPr>
          <w:rFonts w:ascii="Times New Roman" w:hAnsi="Times New Roman" w:eastAsia="仿宋" w:cs="Times New Roman"/>
          <w:b w:val="0"/>
          <w:sz w:val="28"/>
        </w:rPr>
        <w:t>仅限于完成年份、主体身份与交易类别，其余信息需借助行业惯例与公开可比案例进行推演。但推演不等于编造：分析者必须严格区分</w:t>
      </w:r>
      <w:r>
        <w:rPr>
          <w:rFonts w:ascii="Times New Roman" w:hAnsi="Times New Roman" w:eastAsia="Times New Roman" w:cs="Times New Roman"/>
          <w:b w:val="0"/>
          <w:sz w:val="28"/>
        </w:rPr>
        <w:t>“</w:t>
      </w:r>
      <w:r>
        <w:rPr>
          <w:rFonts w:ascii="Times New Roman" w:hAnsi="Times New Roman" w:eastAsia="仿宋" w:cs="Times New Roman"/>
          <w:b w:val="0"/>
          <w:sz w:val="28"/>
        </w:rPr>
        <w:t>已知事实</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基于共性的合理推论</w:t>
      </w:r>
      <w:r>
        <w:rPr>
          <w:rFonts w:ascii="Times New Roman" w:hAnsi="Times New Roman" w:eastAsia="Times New Roman" w:cs="Times New Roman"/>
          <w:b w:val="0"/>
          <w:sz w:val="28"/>
        </w:rPr>
        <w:t>”</w:t>
      </w:r>
      <w:r>
        <w:rPr>
          <w:rFonts w:ascii="Times New Roman" w:hAnsi="Times New Roman" w:eastAsia="仿宋" w:cs="Times New Roman"/>
          <w:b w:val="0"/>
          <w:sz w:val="28"/>
        </w:rPr>
        <w:t>，并以可验证的数据源作为校准基准。对于产业集团而言，面对信息不透明的交易，首要任务正是界定信息边界，避免对未公开数字做出假性精确的判断。</w:t>
      </w:r>
    </w:p>
    <w:p>
      <w:pPr>
        <w:spacing w:before="0" w:after="0" w:line="240" w:lineRule="auto" w:beforeLines="0" w:afterLines="0"/>
        <w:jc w:val="left"/>
        <w:ind w:firstLineChars="200"/>
      </w:pPr>
      <w:r>
        <w:rPr>
          <w:rFonts w:ascii="Times New Roman" w:hAnsi="Times New Roman" w:eastAsia="仿宋" w:cs="Times New Roman"/>
          <w:b/>
          <w:sz w:val="28"/>
        </w:rPr>
        <w:t>二、产业位置与路径选择：中概金融科技SPAC的适配逻辑</w:t>
      </w:r>
    </w:p>
    <w:p>
      <w:pPr>
        <w:spacing w:before="0" w:after="0" w:line="240" w:lineRule="auto" w:beforeLines="0" w:afterLines="0"/>
        <w:jc w:val="both"/>
        <w:ind w:firstLineChars="200"/>
      </w:pPr>
      <w:r>
        <w:rPr>
          <w:rFonts w:ascii="Times New Roman" w:hAnsi="Times New Roman" w:eastAsia="仿宋" w:cs="Times New Roman"/>
          <w:b w:val="0"/>
          <w:sz w:val="28"/>
        </w:rPr>
        <w:t>公开资料虽未披露微牛选择SPAC上市的具体原因，但从中概金融科技企业近年采用SPAC的共性动机中，可识别出两条核心产业逻辑。第一，时间确定性。传统IPO从递交申请到挂牌通常需六至十二个月，且受市场窗口影响显著；而SPAC合并从宣布到完成通常在五个月内，能使企业更精准地把握上市时机。对于处于快速成长期的微牛而言，尽快获得上市地位有助于品牌提升与跨境业务拓展，尤其是在其海外牌照布局（如美国SEC经纪商资格）已基本完成的情况下。第二，监管适应性。2021年以来，美国SEC对中概股审计底稿审查趋严，部分企业面临退市风险。SPAC合并可绕开部分传统IPO的严格审核环节，在相对可控的披露义务下实现上市。微牛涉及跨境证券业务，需同时遵守美国、中国及香港的监管要求，合规成本较高，通过SPAC能降低过程中的不确定性。</w:t>
      </w:r>
    </w:p>
    <w:p>
      <w:pPr>
        <w:spacing w:before="0" w:after="0" w:line="240" w:lineRule="auto" w:beforeLines="0" w:afterLines="0"/>
        <w:jc w:val="both"/>
        <w:ind w:firstLineChars="200"/>
      </w:pPr>
      <w:r>
        <w:rPr>
          <w:rFonts w:ascii="Times New Roman" w:hAnsi="Times New Roman" w:eastAsia="仿宋" w:cs="Times New Roman"/>
          <w:b w:val="0"/>
          <w:sz w:val="28"/>
        </w:rPr>
        <w:t>从产业竞争格局看，微牛处于金融科技经纪的中腰部位置，主要竞争对手包括Robinhood（HOOD，NASDAQ：HOOD）与老虎证券（TIGR，NASDAQ：TIGR）。2024年至2025年，这些可比公司的收入倍数在4至8倍区间波动。微牛的用户规模与交易量虽未具体公开，但作为有美国牌照的中概金融科技平台，其在华人投资者群体中拥有一定市场份额，这是吸引SPAC发起方的重要价值基础。对于同类企业，评估SPAC路径时需优先验证自身与可比公司在用户增长、合规成本和收入结构上的差距，以判断路径适配性。</w:t>
      </w:r>
    </w:p>
    <w:p>
      <w:pPr>
        <w:spacing w:before="0" w:after="0" w:line="240" w:lineRule="auto" w:beforeLines="0" w:afterLines="0"/>
        <w:jc w:val="left"/>
        <w:ind w:firstLineChars="200"/>
      </w:pPr>
      <w:r>
        <w:rPr>
          <w:rFonts w:ascii="Times New Roman" w:hAnsi="Times New Roman" w:eastAsia="仿宋" w:cs="Times New Roman"/>
          <w:b/>
          <w:sz w:val="28"/>
        </w:rPr>
        <w:t>三、结构元件的推演：信托、赎回、PIPE与earnout的博弈框架</w:t>
      </w:r>
    </w:p>
    <w:p>
      <w:pPr>
        <w:spacing w:before="0" w:after="0" w:line="240" w:lineRule="auto" w:beforeLines="0" w:afterLines="0"/>
        <w:jc w:val="both"/>
        <w:ind w:firstLineChars="200"/>
      </w:pPr>
      <w:r>
        <w:rPr>
          <w:rFonts w:ascii="Times New Roman" w:hAnsi="Times New Roman" w:eastAsia="仿宋" w:cs="Times New Roman"/>
          <w:b w:val="0"/>
          <w:sz w:val="28"/>
        </w:rPr>
        <w:t>虽然微牛合并的具体条款未公开，但SPAC合并的结构具有高度标准化特征，可据此梳理其可能的安排。第一，信托资金与赎回权。SPAC在IPO时筹集资金存入信托账户，通常规模在2亿至4亿美元之间，合并时股东可选择赎回现金。微牛合并方的信托规模、赎回率均未披露，但假设赎回率在30%至60%的行业常见范围内，实际可用于交易的资金将显著减少。第二，PIPE（私募股权投资）的引入。为弥补赎回造成的资金缺口并增强投资者信心，SPAC常同步进行PIPE融资。微牛作为金融科技标的，可能吸引对冲基金或战略投资者参与，PIPE价格通常与合并后股价挂钩，折价幅度在10%至20%之间。第三，earnout对赌机制。为弥合估值分歧，SPAC合并普遍设置earnout条款，即原股东在达成特定营收或股价目标后额外获得股份。微牛原股东可能同意设置此类条款以换取较高的初始估值。例如，若合并后营收未达到约定门槛，发起人股份或earnout股份将被注销。这些常用工具为理解未披露交易的潜在博弈提供了分析框架，但需重申：上述元素均基于SPAC行业惯例，而非对微牛交易的具体断言。</w:t>
      </w:r>
    </w:p>
    <w:p>
      <w:pPr>
        <w:spacing w:before="0" w:after="0" w:line="240" w:lineRule="auto" w:beforeLines="0" w:afterLines="0"/>
        <w:jc w:val="both"/>
        <w:ind w:firstLineChars="200"/>
      </w:pPr>
      <w:r>
        <w:rPr>
          <w:rFonts w:ascii="Times New Roman" w:hAnsi="Times New Roman" w:eastAsia="仿宋" w:cs="Times New Roman"/>
          <w:b w:val="0"/>
          <w:sz w:val="28"/>
        </w:rPr>
        <w:t>在交易结构层面，标的方还需关注SPAC发起人的</w:t>
      </w:r>
      <w:r>
        <w:rPr>
          <w:rFonts w:ascii="Times New Roman" w:hAnsi="Times New Roman" w:eastAsia="Times New Roman" w:cs="Times New Roman"/>
          <w:b w:val="0"/>
          <w:sz w:val="28"/>
        </w:rPr>
        <w:t>“</w:t>
      </w:r>
      <w:r>
        <w:rPr>
          <w:rFonts w:ascii="Times New Roman" w:hAnsi="Times New Roman" w:eastAsia="仿宋" w:cs="Times New Roman"/>
          <w:b w:val="0"/>
          <w:sz w:val="28"/>
        </w:rPr>
        <w:t>推广方股份</w:t>
      </w:r>
      <w:r>
        <w:rPr>
          <w:rFonts w:ascii="Times New Roman" w:hAnsi="Times New Roman" w:eastAsia="Times New Roman" w:cs="Times New Roman"/>
          <w:b w:val="0"/>
          <w:sz w:val="28"/>
        </w:rPr>
        <w:t>”</w:t>
      </w:r>
      <w:r>
        <w:rPr>
          <w:rFonts w:ascii="Times New Roman" w:hAnsi="Times New Roman" w:eastAsia="仿宋" w:cs="Times New Roman"/>
          <w:b w:val="0"/>
          <w:sz w:val="28"/>
        </w:rPr>
        <w:t>稀释问题。行业惯例中，SPAC发起人通常获得发行后20%的股份作为激励，若合并后股价上涨则收益可观，但若股价下跌则可能面临赎回压力。微牛在谈判中可能需要争取降低发起人股份比例或设置更有利的赎回条款。</w:t>
      </w:r>
    </w:p>
    <w:p>
      <w:pPr>
        <w:spacing w:before="0" w:after="0" w:line="240" w:lineRule="auto" w:beforeLines="0" w:afterLines="0"/>
        <w:jc w:val="left"/>
        <w:ind w:firstLineChars="200"/>
      </w:pPr>
      <w:r>
        <w:rPr>
          <w:rFonts w:ascii="Times New Roman" w:hAnsi="Times New Roman" w:eastAsia="仿宋" w:cs="Times New Roman"/>
          <w:b/>
          <w:sz w:val="28"/>
        </w:rPr>
        <w:t>四、财务影响的隐含路径：估值区间、稀释效应与关键变量</w:t>
      </w:r>
    </w:p>
    <w:p>
      <w:pPr>
        <w:spacing w:before="0" w:after="0" w:line="240" w:lineRule="auto" w:beforeLines="0" w:afterLines="0"/>
        <w:jc w:val="both"/>
        <w:ind w:firstLineChars="200"/>
      </w:pPr>
      <w:r>
        <w:rPr>
          <w:rFonts w:ascii="Times New Roman" w:hAnsi="Times New Roman" w:eastAsia="仿宋" w:cs="Times New Roman"/>
          <w:b w:val="0"/>
          <w:sz w:val="28"/>
        </w:rPr>
        <w:t>由于交易金额缺失，无法直接计算估值倍数，但可通过SPAC合并的财务模式推导隐含区间。合并后公司价值等于信托资金减去赎回额加上PIPE金额。赎回率是关键变量：若市场对微牛认可度高，赎回率偏低（如20%至30%），则实际可用现金较多，对应估值较高；反之若赎回率达60%至70%，则信托资金大量流失，需依赖PIPE补足，稀释效应加剧。稀释效应同时来自earnout行权、发起人股份以及PIPE折价。行业典型的整体稀释程度在20%至40%之间。</w:t>
      </w:r>
    </w:p>
    <w:p>
      <w:pPr>
        <w:spacing w:before="0" w:after="0" w:line="240" w:lineRule="auto" w:beforeLines="0" w:afterLines="0"/>
        <w:jc w:val="both"/>
        <w:ind w:firstLineChars="200"/>
      </w:pPr>
      <w:r>
        <w:rPr>
          <w:rFonts w:ascii="Times New Roman" w:hAnsi="Times New Roman" w:eastAsia="仿宋" w:cs="Times New Roman"/>
          <w:b w:val="0"/>
          <w:sz w:val="28"/>
        </w:rPr>
        <w:t>参考可比公司Robinhood和老虎证券在2024至2025年的收入倍数，若微牛的年收入体量在1亿至3亿美元区间（基于其用户数及交易量估算），则合并后隐含估值可能在4亿至24亿美元之间，但这一区间跨度极大，实际数值需以公开披露为准。财务影响分析的关键在于揭示赎回率、PIPE规模与earnout条款如何共同决定稀释效应。对于标的方而言，在谈判SPAC合并时应建立财务模型进行敏感性分析，模拟不同赎回率下的每股价值变化，以避免因低估赎回风险而损失股东利益。</w:t>
      </w:r>
    </w:p>
    <w:p>
      <w:pPr>
        <w:spacing w:before="0" w:after="0" w:line="240" w:lineRule="auto" w:beforeLines="0" w:afterLines="0"/>
        <w:jc w:val="left"/>
        <w:ind w:firstLineChars="200"/>
      </w:pPr>
      <w:r>
        <w:rPr>
          <w:rFonts w:ascii="Times New Roman" w:hAnsi="Times New Roman" w:eastAsia="仿宋" w:cs="Times New Roman"/>
          <w:b/>
          <w:sz w:val="28"/>
        </w:rPr>
        <w:t>五、交割后的隐性成本：治理、合规与承接挑战</w:t>
      </w:r>
    </w:p>
    <w:p>
      <w:pPr>
        <w:spacing w:before="0" w:after="0" w:line="240" w:lineRule="auto" w:beforeLines="0" w:afterLines="0"/>
        <w:jc w:val="both"/>
        <w:ind w:firstLineChars="200"/>
      </w:pPr>
      <w:r>
        <w:rPr>
          <w:rFonts w:ascii="Times New Roman" w:hAnsi="Times New Roman" w:eastAsia="仿宋" w:cs="Times New Roman"/>
          <w:b w:val="0"/>
          <w:sz w:val="28"/>
        </w:rPr>
        <w:t>SPAC上市完成后，微牛需立即满足美国交易所的治理标准：董事会中独立董事占比过半，设立审计、薪酬与提名委员会，并实施萨班斯-奥克斯利法案下的内控报告。对于从私密状态快速上市的公司，这些要求构成较大资源压力。特别是，微牛此前可能未按SEC标准建立完整的财务报告体系，上市后需在短时间内补足内控文档、聘请审计师并完成首次10-K或10-Q报告。</w:t>
      </w:r>
    </w:p>
    <w:p>
      <w:pPr>
        <w:spacing w:before="0" w:after="0" w:line="240" w:lineRule="auto" w:beforeLines="0" w:afterLines="0"/>
        <w:jc w:val="both"/>
        <w:ind w:firstLineChars="200"/>
      </w:pPr>
      <w:r>
        <w:rPr>
          <w:rFonts w:ascii="Times New Roman" w:hAnsi="Times New Roman" w:eastAsia="仿宋" w:cs="Times New Roman"/>
          <w:b w:val="0"/>
          <w:sz w:val="28"/>
        </w:rPr>
        <w:t>中概股背景还带来额外的合规负担：审计底稿审查（若适用）、跨境数据流动限制，以及SEC对经纪商净资本的持续监管。微牛若在美国持有客户资产，需维持充足的资本金（如SEC净资本规则要求的250，000美元以上），并遵守客户保护规则（如客户资产隔离）。交割后的管理团队需同时应对上市公司信息披露节奏与跨境合规，这是SPAC交易中最易被低估的承接成本。同类案例表明，若标的方在交割前未充分搭建财务报告体系，上市后可能面临内控缺陷披露甚至集体诉讼风险。因此，产业集团在评估SPAC上市路径时，应将合规基础设施的建设时间和预算纳入交易计划，而非仅关注估值与融资额。</w:t>
      </w:r>
    </w:p>
    <w:p>
      <w:pPr>
        <w:spacing w:before="0" w:after="0" w:line="240" w:lineRule="auto" w:beforeLines="0" w:afterLines="0"/>
        <w:jc w:val="left"/>
        <w:ind w:firstLineChars="200"/>
      </w:pPr>
      <w:r>
        <w:rPr>
          <w:rFonts w:ascii="Times New Roman" w:hAnsi="Times New Roman" w:eastAsia="仿宋" w:cs="Times New Roman"/>
          <w:b/>
          <w:sz w:val="28"/>
        </w:rPr>
        <w:t>六、方法论反思：如何复盘信息不完整的并购交易</w:t>
      </w:r>
    </w:p>
    <w:p>
      <w:pPr>
        <w:spacing w:before="0" w:after="0" w:line="240" w:lineRule="auto" w:beforeLines="0" w:afterLines="0"/>
        <w:jc w:val="both"/>
        <w:ind w:firstLineChars="200"/>
      </w:pPr>
      <w:r>
        <w:rPr>
          <w:rFonts w:ascii="Times New Roman" w:hAnsi="Times New Roman" w:eastAsia="仿宋" w:cs="Times New Roman"/>
          <w:b w:val="0"/>
          <w:sz w:val="28"/>
        </w:rPr>
        <w:t>微牛SPAC上市案印证了一个观点：并购研究的价值不因数据缺口而消减。在交易金额、动机等关键信息缺失时，分析者仍可借助行业惯例、结构元件与监管环境构建合理的叙事框架。有效的方法论包含三个步骤：第一，界定已知与未知，列出事实清单并标注置信度，避免虚假精确。第二，建立基于行业共性的参考基准，例如通过可比公司估值区间、SPAC典型条款结构来推演可能范围。第三，将推演结果与后续披露进行持续校准——公开资料显示未来微牛提交了SEC文件，则应追溯验证之前的推演假设。</w:t>
      </w:r>
    </w:p>
    <w:p>
      <w:pPr>
        <w:spacing w:before="0" w:after="0" w:line="240" w:lineRule="auto" w:beforeLines="0" w:afterLines="0"/>
        <w:jc w:val="both"/>
        <w:ind w:firstLineChars="200"/>
      </w:pPr>
      <w:r>
        <w:rPr>
          <w:rFonts w:ascii="Times New Roman" w:hAnsi="Times New Roman" w:eastAsia="仿宋" w:cs="Times New Roman"/>
          <w:b w:val="0"/>
          <w:sz w:val="28"/>
        </w:rPr>
        <w:t>对于产业集团负责人，面对信息不透明的并购机会，应优先拆解交易结构而非执著于数字本身。具体操作上，可通过以下方式降低信息不对称：直接联系交易对手获取保密备忘录；聘请熟悉SPAC的法律顾问核查条款；从同类上市公司的公开披露中提取稀释模型参数。只有当</w:t>
      </w:r>
      <w:r>
        <w:rPr>
          <w:rFonts w:ascii="Times New Roman" w:hAnsi="Times New Roman" w:eastAsia="Times New Roman" w:cs="Times New Roman"/>
          <w:b w:val="0"/>
          <w:sz w:val="28"/>
        </w:rPr>
        <w:t>“</w:t>
      </w:r>
      <w:r>
        <w:rPr>
          <w:rFonts w:ascii="Times New Roman" w:hAnsi="Times New Roman" w:eastAsia="仿宋" w:cs="Times New Roman"/>
          <w:b w:val="0"/>
          <w:sz w:val="28"/>
        </w:rPr>
        <w:t>推演</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验证</w:t>
      </w:r>
      <w:r>
        <w:rPr>
          <w:rFonts w:ascii="Times New Roman" w:hAnsi="Times New Roman" w:eastAsia="Times New Roman" w:cs="Times New Roman"/>
          <w:b w:val="0"/>
          <w:sz w:val="28"/>
        </w:rPr>
        <w:t>”</w:t>
      </w:r>
      <w:r>
        <w:rPr>
          <w:rFonts w:ascii="Times New Roman" w:hAnsi="Times New Roman" w:eastAsia="仿宋" w:cs="Times New Roman"/>
          <w:b w:val="0"/>
          <w:sz w:val="28"/>
        </w:rPr>
        <w:t>形成闭环，才能在信息迷雾中做出经得起事实检验的决策。本案例的分析框架同样适用于其他信息有限的并购复盘场景。</w:t>
      </w:r>
    </w:p>
    <w:p>
      <w:pPr>
        <w:spacing w:before="0" w:after="0" w:line="240" w:lineRule="auto" w:beforeLines="0" w:afterLines="0"/>
        <w:jc w:val="left"/>
        <w:ind w:firstLineChars="200"/>
      </w:pPr>
      <w:r>
        <w:rPr>
          <w:rFonts w:ascii="Times New Roman" w:hAnsi="Times New Roman" w:eastAsia="仿宋" w:cs="Times New Roman"/>
          <w:b/>
          <w:sz w:val="28"/>
        </w:rPr>
        <w:t>七、结语：从结构共性到决策校准——信息不完整案例的分析价值</w:t>
      </w:r>
    </w:p>
    <w:p>
      <w:pPr>
        <w:spacing w:before="0" w:after="0" w:line="240" w:lineRule="auto" w:beforeLines="0" w:afterLines="0"/>
        <w:jc w:val="both"/>
        <w:ind w:firstLineChars="200"/>
      </w:pPr>
      <w:r>
        <w:rPr>
          <w:rFonts w:ascii="Times New Roman" w:hAnsi="Times New Roman" w:eastAsia="仿宋" w:cs="Times New Roman"/>
          <w:b w:val="0"/>
          <w:sz w:val="28"/>
        </w:rPr>
        <w:t>微牛证券2025年通过SPAC合并上市，虽然交易金额、估值和具体条款均未公开，但这一案例本身揭示了金融科技中概企业利用SPAC实现上市的结构范式。从产业适配看，SPAC的时间确定性与监管适应性是微牛选择该路径的合理动因；从交易结构看，信托赎回、PIPE融资与earnout对赌构成核心博弈元件；从财务影响看，赎回率与稀释效应是决定实际价值的敏感变量；从交割承接看，治理合规成本是上市后不可忽视的隐性支出。</w:t>
      </w:r>
    </w:p>
    <w:p>
      <w:pPr>
        <w:spacing w:before="0" w:after="0" w:line="240" w:lineRule="auto" w:beforeLines="0" w:afterLines="0"/>
        <w:jc w:val="both"/>
        <w:ind w:firstLineChars="200"/>
      </w:pPr>
      <w:r>
        <w:rPr>
          <w:rFonts w:ascii="Times New Roman" w:hAnsi="Times New Roman" w:eastAsia="仿宋" w:cs="Times New Roman"/>
          <w:b w:val="0"/>
          <w:sz w:val="28"/>
        </w:rPr>
        <w:t>本案例的分析价值不在于提供确定的答案，而在于展示一套基于有限信息进行结构化推理的方法论。对于并购决策者，关键不是盲目等待完整数据，而是主动利用行业共性建立假设，并通过多渠道交叉验证逐步校准。只有这样，才能在信息不对称的并购市场中保持判断力，做出立足于事实而非幻觉的决策。</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