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中化装备科技青岛收购益阳橡胶塑料机械集团：股权比例与治理安排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本案例涉及中化装备科技（青岛）股份有限公司（下称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中化装备科技</w:t>
      </w:r>
      <w:r>
        <w:rPr>
          <w:rFonts w:ascii="Times New Roman" w:hAnsi="Times New Roman" w:eastAsia="Times New Roman" w:cs="Times New Roman"/>
          <w:b w:val="0"/>
          <w:sz w:val="28"/>
        </w:rPr>
        <w:t>”</w:t>
      </w:r>
      <w:r>
        <w:rPr>
          <w:rFonts w:ascii="Times New Roman" w:hAnsi="Times New Roman" w:eastAsia="仿宋" w:cs="Times New Roman"/>
          <w:b w:val="0"/>
          <w:sz w:val="28"/>
        </w:rPr>
        <w:t>）收购益阳橡胶塑料机械集团有限公司100%股权（下称</w:t>
      </w:r>
      <w:r>
        <w:rPr>
          <w:rFonts w:ascii="Times New Roman" w:hAnsi="Times New Roman" w:eastAsia="Times New Roman" w:cs="Times New Roman"/>
          <w:b w:val="0"/>
          <w:sz w:val="28"/>
        </w:rPr>
        <w:t>“</w:t>
      </w:r>
      <w:r>
        <w:rPr>
          <w:rFonts w:ascii="Times New Roman" w:hAnsi="Times New Roman" w:eastAsia="仿宋" w:cs="Times New Roman"/>
          <w:b w:val="0"/>
          <w:sz w:val="28"/>
        </w:rPr>
        <w:t>益阳橡胶塑料机械100%股权</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中化装备科技（青岛）股份有限公司关于发行股份购买资产并募集配套资金暨关联交易事项之标的资产过户完成的公告》，目标线索为公告披露，公司拟发行股份购买中国化工装备有限公司持有的益阳橡机100%股权、北京蓝星节能投资管理有限公司持有的北化机100%股权，并向不超过35名符合条件的特定投资者发行股份募集配套资金；本次交易为关联交易。买方战略动机未单独披露。。同一控制下的资产注入，投委会需要先确认的往往不是价格，而是三件事：股权何时转移、对价何时结算、过渡期损益由谁承担。中化装备科技（青岛）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中化装备</w:t>
      </w:r>
      <w:r>
        <w:rPr>
          <w:rFonts w:ascii="Times New Roman" w:hAnsi="Times New Roman" w:eastAsia="Times New Roman" w:cs="Times New Roman"/>
          <w:b w:val="0"/>
          <w:sz w:val="28"/>
        </w:rPr>
        <w:t>”</w:t>
      </w:r>
      <w:r>
        <w:rPr>
          <w:rFonts w:ascii="Times New Roman" w:hAnsi="Times New Roman" w:eastAsia="仿宋" w:cs="Times New Roman"/>
          <w:b w:val="0"/>
          <w:sz w:val="28"/>
        </w:rPr>
        <w:t>，600579）以发行股份购买资产并募集配套资金的方式，受让中国化工装备有限公司持有的益阳橡胶塑料机械集团有限公司（下称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化工装备公司</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益阳橡机</w:t>
      </w:r>
      <w:r>
        <w:rPr>
          <w:rFonts w:ascii="Times New Roman" w:hAnsi="Times New Roman" w:eastAsia="Times New Roman" w:cs="Times New Roman"/>
          <w:b w:val="0"/>
          <w:sz w:val="28"/>
        </w:rPr>
        <w:t>”</w:t>
      </w:r>
      <w:r>
        <w:rPr>
          <w:rFonts w:ascii="Times New Roman" w:hAnsi="Times New Roman" w:eastAsia="仿宋" w:cs="Times New Roman"/>
          <w:b w:val="0"/>
          <w:sz w:val="28"/>
        </w:rPr>
        <w:t>）100%股权、北京蓝星节能投资管理有限公司（下称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蓝星节能</w:t>
      </w:r>
      <w:r>
        <w:rPr>
          <w:rFonts w:ascii="Times New Roman" w:hAnsi="Times New Roman" w:eastAsia="Times New Roman" w:cs="Times New Roman"/>
          <w:b w:val="0"/>
          <w:sz w:val="28"/>
        </w:rPr>
        <w:t>”</w:t>
      </w:r>
      <w:r>
        <w:rPr>
          <w:rFonts w:ascii="Times New Roman" w:hAnsi="Times New Roman" w:eastAsia="仿宋" w:cs="Times New Roman"/>
          <w:b w:val="0"/>
          <w:sz w:val="28"/>
        </w:rPr>
        <w:t>）持有的蓝星（北京）化工机械有限公司（下称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北化机</w:t>
      </w:r>
      <w:r>
        <w:rPr>
          <w:rFonts w:ascii="Times New Roman" w:hAnsi="Times New Roman" w:eastAsia="Times New Roman" w:cs="Times New Roman"/>
          <w:b w:val="0"/>
          <w:sz w:val="28"/>
        </w:rPr>
        <w:t>”</w:t>
      </w:r>
      <w:r>
        <w:rPr>
          <w:rFonts w:ascii="Times New Roman" w:hAnsi="Times New Roman" w:eastAsia="仿宋" w:cs="Times New Roman"/>
          <w:b w:val="0"/>
          <w:sz w:val="28"/>
        </w:rPr>
        <w:t>）100%股权，交易被明确定性为关联交易。2026年8月17日，公司收到中国证监会同意注册批复；2026年9月9日，公司分别与两名交易对方签署《交割确认书》；9月10日披露标的资产过户完成。交易对价、估值、发行价格与数量、配套募资规模，以及两家标的的营业收入与净利润，均未在本次公告中披露。可研究的对象因此从</w:t>
      </w:r>
      <w:r>
        <w:rPr>
          <w:rFonts w:ascii="Times New Roman" w:hAnsi="Times New Roman" w:eastAsia="Times New Roman" w:cs="Times New Roman"/>
          <w:b w:val="0"/>
          <w:sz w:val="28"/>
        </w:rPr>
        <w:t>“</w:t>
      </w:r>
      <w:r>
        <w:rPr>
          <w:rFonts w:ascii="Times New Roman" w:hAnsi="Times New Roman" w:eastAsia="仿宋" w:cs="Times New Roman"/>
          <w:b w:val="0"/>
          <w:sz w:val="28"/>
        </w:rPr>
        <w:t>买得贵不贵</w:t>
      </w:r>
      <w:r>
        <w:rPr>
          <w:rFonts w:ascii="Times New Roman" w:hAnsi="Times New Roman" w:eastAsia="Times New Roman" w:cs="Times New Roman"/>
          <w:b w:val="0"/>
          <w:sz w:val="28"/>
        </w:rPr>
        <w:t>”</w:t>
      </w:r>
      <w:r>
        <w:rPr>
          <w:rFonts w:ascii="Times New Roman" w:hAnsi="Times New Roman" w:eastAsia="仿宋" w:cs="Times New Roman"/>
          <w:b w:val="0"/>
          <w:sz w:val="28"/>
        </w:rPr>
        <w:t>转为</w:t>
      </w:r>
      <w:r>
        <w:rPr>
          <w:rFonts w:ascii="Times New Roman" w:hAnsi="Times New Roman" w:eastAsia="Times New Roman" w:cs="Times New Roman"/>
          <w:b w:val="0"/>
          <w:sz w:val="28"/>
        </w:rPr>
        <w:t>“</w:t>
      </w:r>
      <w:r>
        <w:rPr>
          <w:rFonts w:ascii="Times New Roman" w:hAnsi="Times New Roman" w:eastAsia="仿宋" w:cs="Times New Roman"/>
          <w:b w:val="0"/>
          <w:sz w:val="28"/>
        </w:rPr>
        <w:t>怎么交付</w:t>
      </w:r>
      <w:r>
        <w:rPr>
          <w:rFonts w:ascii="Times New Roman" w:hAnsi="Times New Roman" w:eastAsia="Times New Roman" w:cs="Times New Roman"/>
          <w:b w:val="0"/>
          <w:sz w:val="28"/>
        </w:rPr>
        <w:t>”</w:t>
      </w:r>
      <w:r>
        <w:rPr>
          <w:rFonts w:ascii="Times New Roman" w:hAnsi="Times New Roman" w:eastAsia="仿宋" w:cs="Times New Roman"/>
          <w:b w:val="0"/>
          <w:sz w:val="28"/>
        </w:rPr>
        <w:t>。</w:t>
      </w:r>
    </w:p>
    <w:p>
      <w:pPr>
        <w:spacing w:before="0" w:after="0" w:line="240" w:lineRule="auto" w:beforeLines="0" w:afterLines="0"/>
        <w:jc w:val="left"/>
        <w:ind w:firstLineChars="200"/>
      </w:pPr>
      <w:r>
        <w:rPr>
          <w:rFonts w:ascii="Times New Roman" w:hAnsi="Times New Roman" w:eastAsia="仿宋" w:cs="Times New Roman"/>
          <w:b/>
          <w:sz w:val="28"/>
        </w:rPr>
        <w:t>一、两项装备资产原在上市平台之外，交易一次性归集两项100%股权</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标的股权比例为100%；具体交易对价和估值公开资料未披露；支付方式为发行股份购买资产（股份支付），并向不超过35名符合条件的特定投资者发行股份募集配套资金。；时间线包括2026-08-17：公司收到中国证监会《关于同意中化装备科技（青岛）股份有限公司发行股份购买资产并募集配套资金注册的批复》（证监许可〔2。</w:t>
      </w:r>
    </w:p>
    <w:p>
      <w:pPr>
        <w:spacing w:before="0" w:after="0" w:line="240" w:lineRule="auto" w:beforeLines="0" w:afterLines="0"/>
        <w:jc w:val="both"/>
        <w:ind w:firstLineChars="200"/>
      </w:pPr>
      <w:r>
        <w:rPr>
          <w:rFonts w:ascii="Times New Roman" w:hAnsi="Times New Roman" w:eastAsia="仿宋" w:cs="Times New Roman"/>
          <w:b w:val="0"/>
          <w:sz w:val="28"/>
        </w:rPr>
        <w:t>交易前的股权状态清晰可核。益阳橡机100%股权由化工装备公司持有，北化机100%股权由蓝星节能持有，两项资产均在上市公司体外，交易对方因此属关联方，本次交易被明确定性为关联交易。从名称与业务指向看，益阳橡机处于橡胶塑料机械领域，北化机处于化工机械领域，二者同属化工装备链条，本次安排将两项同类属性的装备资产同步归集到同一上市平台，属于依托上市平台整合同类资产的结构。但公告未披露两家标的的产品结构、客户构成、产能规模、市场占有率，也未披露其总资产、营业收入与净利润，因此只能就</w:t>
      </w:r>
      <w:r>
        <w:rPr>
          <w:rFonts w:ascii="Times New Roman" w:hAnsi="Times New Roman" w:eastAsia="Times New Roman" w:cs="Times New Roman"/>
          <w:b w:val="0"/>
          <w:sz w:val="28"/>
        </w:rPr>
        <w:t>“</w:t>
      </w:r>
      <w:r>
        <w:rPr>
          <w:rFonts w:ascii="Times New Roman" w:hAnsi="Times New Roman" w:eastAsia="仿宋" w:cs="Times New Roman"/>
          <w:b w:val="0"/>
          <w:sz w:val="28"/>
        </w:rPr>
        <w:t>同类资产向上市平台集中</w:t>
      </w:r>
      <w:r>
        <w:rPr>
          <w:rFonts w:ascii="Times New Roman" w:hAnsi="Times New Roman" w:eastAsia="Times New Roman" w:cs="Times New Roman"/>
          <w:b w:val="0"/>
          <w:sz w:val="28"/>
        </w:rPr>
        <w:t>”</w:t>
      </w:r>
      <w:r>
        <w:rPr>
          <w:rFonts w:ascii="Times New Roman" w:hAnsi="Times New Roman" w:eastAsia="仿宋" w:cs="Times New Roman"/>
          <w:b w:val="0"/>
          <w:sz w:val="28"/>
        </w:rPr>
        <w:t>这一结构事实作判断，不能延伸为对行业景气或资产质量的评价。</w:t>
      </w:r>
    </w:p>
    <w:p>
      <w:pPr>
        <w:spacing w:before="0" w:after="0" w:line="240" w:lineRule="auto" w:beforeLines="0" w:afterLines="0"/>
        <w:jc w:val="both"/>
        <w:ind w:firstLineChars="200"/>
      </w:pPr>
      <w:r>
        <w:rPr>
          <w:rFonts w:ascii="Times New Roman" w:hAnsi="Times New Roman" w:eastAsia="仿宋" w:cs="Times New Roman"/>
          <w:b w:val="0"/>
          <w:sz w:val="28"/>
        </w:rPr>
        <w:t>触发交易的公开文件是过户完成公告，其内容以结果性事实为主：公司拟发行股份购买上述两项100%股权，并向不超过35名符合条件的特定投资者发行股份募集配套资金。公告未披露首次董事会决议的时间与表决情况、股东会决议情况、《购买资产协议》及其补充协议的签署日期与主要条款，也未披露评估基准日的具体日期。这意味着</w:t>
      </w:r>
      <w:r>
        <w:rPr>
          <w:rFonts w:ascii="Times New Roman" w:hAnsi="Times New Roman" w:eastAsia="Times New Roman" w:cs="Times New Roman"/>
          <w:b w:val="0"/>
          <w:sz w:val="28"/>
        </w:rPr>
        <w:t>“</w:t>
      </w:r>
      <w:r>
        <w:rPr>
          <w:rFonts w:ascii="Times New Roman" w:hAnsi="Times New Roman" w:eastAsia="仿宋" w:cs="Times New Roman"/>
          <w:b w:val="0"/>
          <w:sz w:val="28"/>
        </w:rPr>
        <w:t>谁在何时首次提议</w:t>
      </w:r>
      <w:r>
        <w:rPr>
          <w:rFonts w:ascii="Times New Roman" w:hAnsi="Times New Roman" w:eastAsia="Times New Roman" w:cs="Times New Roman"/>
          <w:b w:val="0"/>
          <w:sz w:val="28"/>
        </w:rPr>
        <w:t>”</w:t>
      </w:r>
      <w:r>
        <w:rPr>
          <w:rFonts w:ascii="Times New Roman" w:hAnsi="Times New Roman" w:eastAsia="仿宋" w:cs="Times New Roman"/>
          <w:b w:val="0"/>
          <w:sz w:val="28"/>
        </w:rPr>
        <w:t>的发起环节在公开材料中缺位，可还原的只是</w:t>
      </w:r>
      <w:r>
        <w:rPr>
          <w:rFonts w:ascii="Times New Roman" w:hAnsi="Times New Roman" w:eastAsia="Times New Roman" w:cs="Times New Roman"/>
          <w:b w:val="0"/>
          <w:sz w:val="28"/>
        </w:rPr>
        <w:t>“</w:t>
      </w:r>
      <w:r>
        <w:rPr>
          <w:rFonts w:ascii="Times New Roman" w:hAnsi="Times New Roman" w:eastAsia="仿宋" w:cs="Times New Roman"/>
          <w:b w:val="0"/>
          <w:sz w:val="28"/>
        </w:rPr>
        <w:t>批复—工商变更—交割确认—公告</w:t>
      </w:r>
      <w:r>
        <w:rPr>
          <w:rFonts w:ascii="Times New Roman" w:hAnsi="Times New Roman" w:eastAsia="Times New Roman" w:cs="Times New Roman"/>
          <w:b w:val="0"/>
          <w:sz w:val="28"/>
        </w:rPr>
        <w:t>”</w:t>
      </w:r>
      <w:r>
        <w:rPr>
          <w:rFonts w:ascii="Times New Roman" w:hAnsi="Times New Roman" w:eastAsia="仿宋" w:cs="Times New Roman"/>
          <w:b w:val="0"/>
          <w:sz w:val="28"/>
        </w:rPr>
        <w:t>的行政与登记顺序。买方战略动机亦未单独披露；可由条款确认的客观目标是，把集团体系内两家装备类公司的全部股权置入上市平台，使上市公司直接持有，并以股份而非现金支付对价。</w:t>
      </w:r>
    </w:p>
    <w:p>
      <w:pPr>
        <w:spacing w:before="0" w:after="0" w:line="240" w:lineRule="auto" w:beforeLines="0" w:afterLines="0"/>
        <w:jc w:val="left"/>
        <w:ind w:firstLineChars="200"/>
      </w:pPr>
      <w:r>
        <w:rPr>
          <w:rFonts w:ascii="Times New Roman" w:hAnsi="Times New Roman" w:eastAsia="仿宋" w:cs="Times New Roman"/>
          <w:b/>
          <w:sz w:val="28"/>
        </w:rPr>
        <w:t>二、注册批复到两次工商变更：交易按行政与登记节点推进</w:t>
      </w:r>
    </w:p>
    <w:p>
      <w:pPr>
        <w:spacing w:before="0" w:after="0" w:line="240" w:lineRule="auto" w:beforeLines="0" w:afterLines="0"/>
        <w:jc w:val="both"/>
        <w:ind w:firstLineChars="200"/>
      </w:pPr>
      <w:r>
        <w:rPr>
          <w:rFonts w:ascii="Times New Roman" w:hAnsi="Times New Roman" w:eastAsia="仿宋" w:cs="Times New Roman"/>
          <w:b w:val="0"/>
          <w:sz w:val="28"/>
        </w:rPr>
        <w:t>程序链每一环都有对应证据。2026年8月17日，公司收到中国证券监督管理委员会（下称</w:t>
      </w:r>
      <w:r>
        <w:rPr>
          <w:rFonts w:ascii="Times New Roman" w:hAnsi="Times New Roman" w:eastAsia="Times New Roman" w:cs="Times New Roman"/>
          <w:b w:val="0"/>
          <w:sz w:val="28"/>
        </w:rPr>
        <w:t>“</w:t>
      </w:r>
      <w:r>
        <w:rPr>
          <w:rFonts w:ascii="Times New Roman" w:hAnsi="Times New Roman" w:eastAsia="仿宋" w:cs="Times New Roman"/>
          <w:b w:val="0"/>
          <w:sz w:val="28"/>
        </w:rPr>
        <w:t>中国证监会</w:t>
      </w:r>
      <w:r>
        <w:rPr>
          <w:rFonts w:ascii="Times New Roman" w:hAnsi="Times New Roman" w:eastAsia="Times New Roman" w:cs="Times New Roman"/>
          <w:b w:val="0"/>
          <w:sz w:val="28"/>
        </w:rPr>
        <w:t>”</w:t>
      </w:r>
      <w:r>
        <w:rPr>
          <w:rFonts w:ascii="Times New Roman" w:hAnsi="Times New Roman" w:eastAsia="仿宋" w:cs="Times New Roman"/>
          <w:b w:val="0"/>
          <w:sz w:val="28"/>
        </w:rPr>
        <w:t>）《关于同意中化装备科技（青岛）股份有限公司发行股份购买资产并募集配套资金注册的批复》（证监许可〔2026〕2066号），8月19日在上海证券交易所网站披露（公告编号：2026-062）。8月27日，益阳市市场监督管理局向益阳橡机换发《营业执照》，益阳橡机100。</w:t>
      </w:r>
    </w:p>
    <w:p>
      <w:pPr>
        <w:spacing w:before="0" w:after="0" w:line="240" w:lineRule="auto" w:beforeLines="0" w:afterLines="0"/>
        <w:jc w:val="both"/>
        <w:ind w:firstLineChars="200"/>
      </w:pPr>
      <w:r>
        <w:rPr>
          <w:rFonts w:ascii="Times New Roman" w:hAnsi="Times New Roman" w:eastAsia="仿宋" w:cs="Times New Roman"/>
          <w:b w:val="0"/>
          <w:sz w:val="28"/>
        </w:rPr>
        <w:t>中介机构意见同样以程序为落点。独立财务顾问中信建投证券股份有限公司出具核查意见，认为本次交易的实施过程履行了必要的决策和审批程序，符合《公司法》《证券法》《重组管理办法》等法律、法规及规范性文件的规定；法律顾问北京市嘉源律师事务所出具法律意见书，认为重组方案内容合规、标的资产已完成过户、上市公司已合法持有标的资产。两项意见均把</w:t>
      </w:r>
      <w:r>
        <w:rPr>
          <w:rFonts w:ascii="Times New Roman" w:hAnsi="Times New Roman" w:eastAsia="Times New Roman" w:cs="Times New Roman"/>
          <w:b w:val="0"/>
          <w:sz w:val="28"/>
        </w:rPr>
        <w:t>“</w:t>
      </w:r>
      <w:r>
        <w:rPr>
          <w:rFonts w:ascii="Times New Roman" w:hAnsi="Times New Roman" w:eastAsia="仿宋" w:cs="Times New Roman"/>
          <w:b w:val="0"/>
          <w:sz w:val="28"/>
        </w:rPr>
        <w:t>后续事项不存在实质性法律障碍</w:t>
      </w:r>
      <w:r>
        <w:rPr>
          <w:rFonts w:ascii="Times New Roman" w:hAnsi="Times New Roman" w:eastAsia="Times New Roman" w:cs="Times New Roman"/>
          <w:b w:val="0"/>
          <w:sz w:val="28"/>
        </w:rPr>
        <w:t>”</w:t>
      </w:r>
      <w:r>
        <w:rPr>
          <w:rFonts w:ascii="Times New Roman" w:hAnsi="Times New Roman" w:eastAsia="仿宋" w:cs="Times New Roman"/>
          <w:b w:val="0"/>
          <w:sz w:val="28"/>
        </w:rPr>
        <w:t>。</w:t>
      </w:r>
    </w:p>
    <w:p>
      <w:pPr>
        <w:spacing w:before="0" w:after="0" w:line="240" w:lineRule="auto" w:beforeLines="0" w:afterLines="0"/>
        <w:jc w:val="left"/>
        <w:ind w:firstLineChars="200"/>
      </w:pPr>
      <w:r>
        <w:rPr>
          <w:rFonts w:ascii="Times New Roman" w:hAnsi="Times New Roman" w:eastAsia="仿宋" w:cs="Times New Roman"/>
          <w:b/>
          <w:sz w:val="28"/>
        </w:rPr>
        <w:t>三、股份支付与配套募资装进同一方案，关联交易属性抬高了定价与披露门槛</w:t>
      </w:r>
    </w:p>
    <w:p>
      <w:pPr>
        <w:spacing w:before="0" w:after="0" w:line="240" w:lineRule="auto" w:beforeLines="0" w:afterLines="0"/>
        <w:jc w:val="both"/>
        <w:ind w:firstLineChars="200"/>
      </w:pPr>
      <w:r>
        <w:rPr>
          <w:rFonts w:ascii="Times New Roman" w:hAnsi="Times New Roman" w:eastAsia="仿宋" w:cs="Times New Roman"/>
          <w:b w:val="0"/>
          <w:sz w:val="28"/>
        </w:rPr>
        <w:t>支付与融资被装进同一份方案：取得两项100%股权的对价以发行股份支付，同时向不超过35名符合条件的特定投资者发行股份募集配套资金，形成</w:t>
      </w:r>
      <w:r>
        <w:rPr>
          <w:rFonts w:ascii="Times New Roman" w:hAnsi="Times New Roman" w:eastAsia="Times New Roman" w:cs="Times New Roman"/>
          <w:b w:val="0"/>
          <w:sz w:val="28"/>
        </w:rPr>
        <w:t>“</w:t>
      </w:r>
      <w:r>
        <w:rPr>
          <w:rFonts w:ascii="Times New Roman" w:hAnsi="Times New Roman" w:eastAsia="仿宋" w:cs="Times New Roman"/>
          <w:b w:val="0"/>
          <w:sz w:val="28"/>
        </w:rPr>
        <w:t>以股权换股权＋增量融资</w:t>
      </w:r>
      <w:r>
        <w:rPr>
          <w:rFonts w:ascii="Times New Roman" w:hAnsi="Times New Roman" w:eastAsia="Times New Roman" w:cs="Times New Roman"/>
          <w:b w:val="0"/>
          <w:sz w:val="28"/>
        </w:rPr>
        <w:t>”</w:t>
      </w:r>
      <w:r>
        <w:rPr>
          <w:rFonts w:ascii="Times New Roman" w:hAnsi="Times New Roman" w:eastAsia="仿宋" w:cs="Times New Roman"/>
          <w:b w:val="0"/>
          <w:sz w:val="28"/>
        </w:rPr>
        <w:t>的组合。股份支付意味着交易对方在交割后由标的公司股东转为上市公司股东，其对价的最终价值取决于新增股份的发行价格与上市后的市场定价，对价结算与股权稀释同源；配套募资引入的是现金增量与新的外部股东，与股份。</w:t>
      </w:r>
    </w:p>
    <w:p>
      <w:pPr>
        <w:spacing w:before="0" w:after="0" w:line="240" w:lineRule="auto" w:beforeLines="0" w:afterLines="0"/>
        <w:jc w:val="both"/>
        <w:ind w:firstLineChars="200"/>
      </w:pPr>
      <w:r>
        <w:rPr>
          <w:rFonts w:ascii="Times New Roman" w:hAnsi="Times New Roman" w:eastAsia="仿宋" w:cs="Times New Roman"/>
          <w:b w:val="0"/>
          <w:sz w:val="28"/>
        </w:rPr>
        <w:t>结构可分析，定价不可测算。公告未披露标的资产估值与交易对价、股份发行价格与发行数量、配套募资的规模与用途，也未披露两家标的的营业收入与净利润，因而无法推算交易完成后的股权结构变化与每股影响，也无法判断配套募资相对于交易对价的量级。对投委会而言，这意味着本案能验证的是交易合法性与权属转移，不能验证对价是否与资产匹配；关联交易的公允性论证，须待重组报告书等文件中的估值与发行条款才能复核。</w:t>
      </w:r>
    </w:p>
    <w:p>
      <w:pPr>
        <w:spacing w:before="0" w:after="0" w:line="240" w:lineRule="auto" w:beforeLines="0" w:afterLines="0"/>
        <w:jc w:val="left"/>
        <w:ind w:firstLineChars="200"/>
      </w:pPr>
      <w:r>
        <w:rPr>
          <w:rFonts w:ascii="Times New Roman" w:hAnsi="Times New Roman" w:eastAsia="仿宋" w:cs="Times New Roman"/>
          <w:b/>
          <w:sz w:val="28"/>
        </w:rPr>
        <w:t>四、交割确认书固定了权利转移，对价股份与过渡期损益仍留在敞口</w:t>
      </w:r>
    </w:p>
    <w:p>
      <w:pPr>
        <w:spacing w:before="0" w:after="0" w:line="240" w:lineRule="auto" w:beforeLines="0" w:afterLines="0"/>
        <w:jc w:val="both"/>
        <w:ind w:firstLineChars="200"/>
      </w:pPr>
      <w:r>
        <w:rPr>
          <w:rFonts w:ascii="Times New Roman" w:hAnsi="Times New Roman" w:eastAsia="仿宋" w:cs="Times New Roman"/>
          <w:b w:val="0"/>
          <w:sz w:val="28"/>
        </w:rPr>
        <w:t>100%股权过户的法律后果与会计后果需要分开陈述。法律上，工商变更完成、营业执照换发，中化装备已合法持有益阳橡机与北化机全部股权，取得包括表决权、分红权与处置权在内的完整股东权利；会计上，取得控制权构成并表基础，两家标的的资产负债与经营成果应纳入合并范围。但并表不等于损益确定。公告明确，公司尚待聘请符合《证券法》规定的审计机构，对标的资产自评估基准日至交割日。</w:t>
      </w:r>
    </w:p>
    <w:p>
      <w:pPr>
        <w:spacing w:before="0" w:after="0" w:line="240" w:lineRule="auto" w:beforeLines="0" w:afterLines="0"/>
        <w:jc w:val="both"/>
        <w:ind w:firstLineChars="200"/>
      </w:pPr>
      <w:r>
        <w:rPr>
          <w:rFonts w:ascii="Times New Roman" w:hAnsi="Times New Roman" w:eastAsia="仿宋" w:cs="Times New Roman"/>
          <w:b w:val="0"/>
          <w:sz w:val="28"/>
        </w:rPr>
        <w:t>出售方的接受安排，公开资料未单独披露其主观原因，但可由条款还原客观机制：化工装备公司与蓝星节能以其持有的标的公司100%股权作为交易标的，由中化装备以发行股份方式购买，2026年9月9日签署《交割确认书》，两项股权已分别完成工商变更过户。资产由集团内非上市主体移至上市平台，对价以股权形式在体系内转换，不涉及现金流出，这是该安排在同一控制人内部能够成立的基本机。</w:t>
      </w:r>
    </w:p>
    <w:p>
      <w:pPr>
        <w:spacing w:before="0" w:after="0" w:line="240" w:lineRule="auto" w:beforeLines="0" w:afterLines="0"/>
        <w:jc w:val="both"/>
        <w:ind w:firstLineChars="200"/>
      </w:pPr>
      <w:r>
        <w:rPr>
          <w:rFonts w:ascii="Times New Roman" w:hAnsi="Times New Roman" w:eastAsia="仿宋" w:cs="Times New Roman"/>
          <w:b w:val="0"/>
          <w:sz w:val="28"/>
        </w:rPr>
        <w:t>剩余事项清单亦明确：一是过渡期损益审计与归属执行，属财务确认问题；二是按重组相关协议向交易对方发行股份，并向中国证券登记结算有限责任公司上海分公司及上海证券交易所申请办理新增股份登记及上市手续，属权属结算问题。把这两项与已完成的过户并列，本案的真实状态是</w:t>
      </w:r>
      <w:r>
        <w:rPr>
          <w:rFonts w:ascii="Times New Roman" w:hAnsi="Times New Roman" w:eastAsia="Times New Roman" w:cs="Times New Roman"/>
          <w:b w:val="0"/>
          <w:sz w:val="28"/>
        </w:rPr>
        <w:t>“</w:t>
      </w:r>
      <w:r>
        <w:rPr>
          <w:rFonts w:ascii="Times New Roman" w:hAnsi="Times New Roman" w:eastAsia="仿宋" w:cs="Times New Roman"/>
          <w:b w:val="0"/>
          <w:sz w:val="28"/>
        </w:rPr>
        <w:t>权利已转移、对价未结算、损益待界定</w:t>
      </w:r>
      <w:r>
        <w:rPr>
          <w:rFonts w:ascii="Times New Roman" w:hAnsi="Times New Roman" w:eastAsia="Times New Roman" w:cs="Times New Roman"/>
          <w:b w:val="0"/>
          <w:sz w:val="28"/>
        </w:rPr>
        <w:t>”</w:t>
      </w:r>
      <w:r>
        <w:rPr>
          <w:rFonts w:ascii="Times New Roman" w:hAnsi="Times New Roman" w:eastAsia="仿宋" w:cs="Times New Roman"/>
          <w:b w:val="0"/>
          <w:sz w:val="28"/>
        </w:rPr>
        <w:t>，把</w:t>
      </w:r>
      <w:r>
        <w:rPr>
          <w:rFonts w:ascii="Times New Roman" w:hAnsi="Times New Roman" w:eastAsia="Times New Roman" w:cs="Times New Roman"/>
          <w:b w:val="0"/>
          <w:sz w:val="28"/>
        </w:rPr>
        <w:t>“</w:t>
      </w:r>
      <w:r>
        <w:rPr>
          <w:rFonts w:ascii="Times New Roman" w:hAnsi="Times New Roman" w:eastAsia="仿宋" w:cs="Times New Roman"/>
          <w:b w:val="0"/>
          <w:sz w:val="28"/>
        </w:rPr>
        <w:t>标的资产过户完成</w:t>
      </w:r>
      <w:r>
        <w:rPr>
          <w:rFonts w:ascii="Times New Roman" w:hAnsi="Times New Roman" w:eastAsia="Times New Roman" w:cs="Times New Roman"/>
          <w:b w:val="0"/>
          <w:sz w:val="28"/>
        </w:rPr>
        <w:t>”</w:t>
      </w:r>
      <w:r>
        <w:rPr>
          <w:rFonts w:ascii="Times New Roman" w:hAnsi="Times New Roman" w:eastAsia="仿宋" w:cs="Times New Roman"/>
          <w:b w:val="0"/>
          <w:sz w:val="28"/>
        </w:rPr>
        <w:t>等同于</w:t>
      </w:r>
      <w:r>
        <w:rPr>
          <w:rFonts w:ascii="Times New Roman" w:hAnsi="Times New Roman" w:eastAsia="Times New Roman" w:cs="Times New Roman"/>
          <w:b w:val="0"/>
          <w:sz w:val="28"/>
        </w:rPr>
        <w:t>“</w:t>
      </w:r>
      <w:r>
        <w:rPr>
          <w:rFonts w:ascii="Times New Roman" w:hAnsi="Times New Roman" w:eastAsia="仿宋" w:cs="Times New Roman"/>
          <w:b w:val="0"/>
          <w:sz w:val="28"/>
        </w:rPr>
        <w:t>交易完成</w:t>
      </w:r>
      <w:r>
        <w:rPr>
          <w:rFonts w:ascii="Times New Roman" w:hAnsi="Times New Roman" w:eastAsia="Times New Roman" w:cs="Times New Roman"/>
          <w:b w:val="0"/>
          <w:sz w:val="28"/>
        </w:rPr>
        <w:t>”</w:t>
      </w:r>
      <w:r>
        <w:rPr>
          <w:rFonts w:ascii="Times New Roman" w:hAnsi="Times New Roman" w:eastAsia="仿宋" w:cs="Times New Roman"/>
          <w:b w:val="0"/>
          <w:sz w:val="28"/>
        </w:rPr>
        <w:t>会丢失关键信息。100%持。</w:t>
      </w:r>
    </w:p>
    <w:p>
      <w:pPr>
        <w:spacing w:before="0" w:after="0" w:line="240" w:lineRule="auto" w:beforeLines="0" w:afterLines="0"/>
        <w:jc w:val="left"/>
        <w:ind w:firstLineChars="200"/>
      </w:pPr>
      <w:r>
        <w:rPr>
          <w:rFonts w:ascii="Times New Roman" w:hAnsi="Times New Roman" w:eastAsia="仿宋" w:cs="Times New Roman"/>
          <w:b/>
          <w:sz w:val="28"/>
        </w:rPr>
        <w:t>五、结语：股权比例与治理安排的核验方法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回到本案的具体状态：中化装备已持有益阳橡机与北化机各100%股权，工商变更分别于2026年8月27日与9月8日完成，《交割确认书》于9月9日签署，过户完成公告于9月10日披露；对价股份尚未发行登记，过渡期损益尚待审计，估值、对价、发行价格与数量、配套募资规模以及两家标的的经营数据均未公开。外部可验证的是权属转移与程序合规，无法验证定价合理性与资产质量，结论强度必须据此收窄。</w:t>
      </w:r>
    </w:p>
    <w:p>
      <w:pPr>
        <w:spacing w:before="0" w:after="0" w:line="240" w:lineRule="auto" w:beforeLines="0" w:afterLines="0"/>
        <w:jc w:val="both"/>
        <w:ind w:firstLineChars="200"/>
      </w:pPr>
      <w:r>
        <w:rPr>
          <w:rFonts w:ascii="Times New Roman" w:hAnsi="Times New Roman" w:eastAsia="仿宋" w:cs="Times New Roman"/>
          <w:b w:val="0"/>
          <w:sz w:val="28"/>
        </w:rPr>
        <w:t>本案的方法论意义在于，分步履约是风险分配工具，并非技术细节。行政审批线（8月17日注册批复）、股权登记线（8月27日与9月8日两次工商变更）、对价结算线（新增股份发行登记）三条时间线并不同步，风险管理重心因此从</w:t>
      </w:r>
      <w:r>
        <w:rPr>
          <w:rFonts w:ascii="Times New Roman" w:hAnsi="Times New Roman" w:eastAsia="Times New Roman" w:cs="Times New Roman"/>
          <w:b w:val="0"/>
          <w:sz w:val="28"/>
        </w:rPr>
        <w:t>“</w:t>
      </w:r>
      <w:r>
        <w:rPr>
          <w:rFonts w:ascii="Times New Roman" w:hAnsi="Times New Roman" w:eastAsia="仿宋" w:cs="Times New Roman"/>
          <w:b w:val="0"/>
          <w:sz w:val="28"/>
        </w:rPr>
        <w:t>能否获批</w:t>
      </w:r>
      <w:r>
        <w:rPr>
          <w:rFonts w:ascii="Times New Roman" w:hAnsi="Times New Roman" w:eastAsia="Times New Roman" w:cs="Times New Roman"/>
          <w:b w:val="0"/>
          <w:sz w:val="28"/>
        </w:rPr>
        <w:t>”</w:t>
      </w:r>
      <w:r>
        <w:rPr>
          <w:rFonts w:ascii="Times New Roman" w:hAnsi="Times New Roman" w:eastAsia="仿宋" w:cs="Times New Roman"/>
          <w:b w:val="0"/>
          <w:sz w:val="28"/>
        </w:rPr>
        <w:t>转向</w:t>
      </w:r>
      <w:r>
        <w:rPr>
          <w:rFonts w:ascii="Times New Roman" w:hAnsi="Times New Roman" w:eastAsia="Times New Roman" w:cs="Times New Roman"/>
          <w:b w:val="0"/>
          <w:sz w:val="28"/>
        </w:rPr>
        <w:t>“</w:t>
      </w:r>
      <w:r>
        <w:rPr>
          <w:rFonts w:ascii="Times New Roman" w:hAnsi="Times New Roman" w:eastAsia="仿宋" w:cs="Times New Roman"/>
          <w:b w:val="0"/>
          <w:sz w:val="28"/>
        </w:rPr>
        <w:t>获批后如何按序落地</w:t>
      </w:r>
      <w:r>
        <w:rPr>
          <w:rFonts w:ascii="Times New Roman" w:hAnsi="Times New Roman" w:eastAsia="Times New Roman" w:cs="Times New Roman"/>
          <w:b w:val="0"/>
          <w:sz w:val="28"/>
        </w:rPr>
        <w:t>”</w:t>
      </w:r>
      <w:r>
        <w:rPr>
          <w:rFonts w:ascii="Times New Roman" w:hAnsi="Times New Roman" w:eastAsia="仿宋" w:cs="Times New Roman"/>
          <w:b w:val="0"/>
          <w:sz w:val="28"/>
        </w:rPr>
        <w:t>。同一控制下、交易对方为关联方时，先交割资产、后发行股份使上市平台提前取得经营控制权，同时把对价结算的不确定性延后；该安排能否成立，取决于交割确认书、过渡期损益条款与后续事项清单是否形成闭环。据此检验同类方案，至少应追问三点：交割确认书是否与工商变更、审计安排、股份登记形成可核验的对应关系；过渡期损益归属是否量化到可执行的程度；信息披露是否足以让外部投资者判断对价与资产的匹配关系。本案在前两点留下可追踪的程序痕迹，在第三点留下明显空白，这也解释了为何两家标的的经营数据与估值条款，是后续复核中优先级最高的缺口。</w:t>
      </w:r>
    </w:p>
    <w:p>
      <w:pPr>
        <w:spacing w:before="0" w:after="0" w:line="240" w:lineRule="auto" w:beforeLines="0" w:afterLines="0"/>
        <w:jc w:val="both"/>
        <w:ind w:firstLineChars="200"/>
      </w:pPr>
      <w:r>
        <w:rPr>
          <w:rFonts w:ascii="Times New Roman" w:hAnsi="Times New Roman" w:eastAsia="仿宋" w:cs="Times New Roman"/>
          <w:b w:val="0"/>
          <w:sz w:val="28"/>
        </w:rPr>
        <w:t>回到中化装备科技青岛与益阳橡胶塑料机械集团，本案的方法论意义不在于把交易结果写成通用并购总结，而在于把标的股权比例为100%；具体交易对价和估值公开资料未披露；支付方式为发行股份购买资产（股份支付），并向不超过35名符合条件的特定投资者发行股份募集配套资金。、益阳橡机100%股权；北化机100%股权；不超过35名符合条件的特定投资者；证监许可〔2026〕2066号、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中化装备科技青岛而言，关键是交割承接和整合节奏能否与已披露安排匹配；对益阳橡胶塑料机械集团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