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上海厚得妙景商务咨询收购首华燃气科技上海：要约与控制权安排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本案例涉及上海厚得妙景商务咨询有限公司（下称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上海厚得妙景商务咨询</w:t>
      </w:r>
      <w:r>
        <w:rPr>
          <w:rFonts w:ascii="Times New Roman" w:hAnsi="Times New Roman" w:eastAsia="Times New Roman" w:cs="Times New Roman"/>
          <w:b w:val="0"/>
          <w:sz w:val="28"/>
        </w:rPr>
        <w:t>”</w:t>
      </w:r>
      <w:r>
        <w:rPr>
          <w:rFonts w:ascii="Times New Roman" w:hAnsi="Times New Roman" w:eastAsia="仿宋" w:cs="Times New Roman"/>
          <w:b w:val="0"/>
          <w:sz w:val="28"/>
        </w:rPr>
        <w:t>）收购首华燃气科技（上海）股份有限公司（下称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首华燃气科技</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及其一致行动人之间内部协议转让股份完成过户登记的公告》，目标线索为公开资料未单独披露厚得妙景受让的主观动机。公告披露的客观安排为：厚得妙景受让山西汇景所持首华燃气7,949,308股无限售条件股份（占公司当时总股本的2.06%），转让价格为21.24元/股，转让价款合计人民币168,843,301.92元；本次协议转让系公司控股股东及其一致行动人之间股份的内部转让，属于同一控制下的协议转让，不涉及向市场减持，未触及要约收购。控制权交易的尽调清单上，第一项通常不是价格，而是</w:t>
      </w:r>
      <w:r>
        <w:rPr>
          <w:rFonts w:ascii="Times New Roman" w:hAnsi="Times New Roman" w:eastAsia="Times New Roman" w:cs="Times New Roman"/>
          <w:b w:val="0"/>
          <w:sz w:val="28"/>
        </w:rPr>
        <w:t>“</w:t>
      </w:r>
      <w:r>
        <w:rPr>
          <w:rFonts w:ascii="Times New Roman" w:hAnsi="Times New Roman" w:eastAsia="仿宋" w:cs="Times New Roman"/>
          <w:b w:val="0"/>
          <w:sz w:val="28"/>
        </w:rPr>
        <w:t>谁在控制</w:t>
      </w:r>
      <w:r>
        <w:rPr>
          <w:rFonts w:ascii="Times New Roman" w:hAnsi="Times New Roman" w:eastAsia="Times New Roman" w:cs="Times New Roman"/>
          <w:b w:val="0"/>
          <w:sz w:val="28"/>
        </w:rPr>
        <w:t>”</w:t>
      </w:r>
      <w:r>
        <w:rPr>
          <w:rFonts w:ascii="Times New Roman" w:hAnsi="Times New Roman" w:eastAsia="仿宋" w:cs="Times New Roman"/>
          <w:b w:val="0"/>
          <w:sz w:val="28"/>
        </w:rPr>
        <w:t>。首华燃气科技（上海）股份有限公司（下称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首华燃气</w:t>
      </w:r>
      <w:r>
        <w:rPr>
          <w:rFonts w:ascii="Times New Roman" w:hAnsi="Times New Roman" w:eastAsia="Times New Roman" w:cs="Times New Roman"/>
          <w:b w:val="0"/>
          <w:sz w:val="28"/>
        </w:rPr>
        <w:t>”</w:t>
      </w:r>
      <w:r>
        <w:rPr>
          <w:rFonts w:ascii="Times New Roman" w:hAnsi="Times New Roman" w:eastAsia="仿宋" w:cs="Times New Roman"/>
          <w:b w:val="0"/>
          <w:sz w:val="28"/>
        </w:rPr>
        <w:t>，SZ：300483）于2026年10月完成的一笔股份转让，把这个问题明确地摆了出来：上海厚得妙景商务咨询有限公司（下称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厚得妙景</w:t>
      </w:r>
      <w:r>
        <w:rPr>
          <w:rFonts w:ascii="Times New Roman" w:hAnsi="Times New Roman" w:eastAsia="Times New Roman" w:cs="Times New Roman"/>
          <w:b w:val="0"/>
          <w:sz w:val="28"/>
        </w:rPr>
        <w:t>”</w:t>
      </w:r>
      <w:r>
        <w:rPr>
          <w:rFonts w:ascii="Times New Roman" w:hAnsi="Times New Roman" w:eastAsia="仿宋" w:cs="Times New Roman"/>
          <w:b w:val="0"/>
          <w:sz w:val="28"/>
        </w:rPr>
        <w:t>）以人民币168,843,301.92元受让7,949,308股、占当时总股本2.06%的股份，过户后公司控股股东由山西汇景企业管理咨询有限公司（下称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山西汇景</w:t>
      </w:r>
      <w:r>
        <w:rPr>
          <w:rFonts w:ascii="Times New Roman" w:hAnsi="Times New Roman" w:eastAsia="Times New Roman" w:cs="Times New Roman"/>
          <w:b w:val="0"/>
          <w:sz w:val="28"/>
        </w:rPr>
        <w:t>”</w:t>
      </w:r>
      <w:r>
        <w:rPr>
          <w:rFonts w:ascii="Times New Roman" w:hAnsi="Times New Roman" w:eastAsia="仿宋" w:cs="Times New Roman"/>
          <w:b w:val="0"/>
          <w:sz w:val="28"/>
        </w:rPr>
        <w:t>）变更为厚得妙景与刘晋礼，实际控制人仍为刘庆礼、刘晋礼，控股股东及其一致行动人合计持股数量和比例均未变化，亦未触及要约收购。若按</w:t>
      </w:r>
      <w:r>
        <w:rPr>
          <w:rFonts w:ascii="Times New Roman" w:hAnsi="Times New Roman" w:eastAsia="Times New Roman" w:cs="Times New Roman"/>
          <w:b w:val="0"/>
          <w:sz w:val="28"/>
        </w:rPr>
        <w:t>“</w:t>
      </w:r>
      <w:r>
        <w:rPr>
          <w:rFonts w:ascii="Times New Roman" w:hAnsi="Times New Roman" w:eastAsia="仿宋" w:cs="Times New Roman"/>
          <w:b w:val="0"/>
          <w:sz w:val="28"/>
        </w:rPr>
        <w:t>受让控制权股份</w:t>
      </w:r>
      <w:r>
        <w:rPr>
          <w:rFonts w:ascii="Times New Roman" w:hAnsi="Times New Roman" w:eastAsia="Times New Roman" w:cs="Times New Roman"/>
          <w:b w:val="0"/>
          <w:sz w:val="28"/>
        </w:rPr>
        <w:t>”</w:t>
      </w:r>
      <w:r>
        <w:rPr>
          <w:rFonts w:ascii="Times New Roman" w:hAnsi="Times New Roman" w:eastAsia="仿宋" w:cs="Times New Roman"/>
          <w:b w:val="0"/>
          <w:sz w:val="28"/>
        </w:rPr>
        <w:t>的标签理解，结论是买方取得了上市公司；若按公告表述，这只是一次同一控制下的持股平台替换。</w:t>
      </w:r>
    </w:p>
    <w:p>
      <w:pPr>
        <w:spacing w:before="0" w:after="0" w:line="240" w:lineRule="auto" w:beforeLines="0" w:afterLines="0"/>
        <w:jc w:val="left"/>
        <w:ind w:firstLineChars="200"/>
      </w:pPr>
      <w:r>
        <w:rPr>
          <w:rFonts w:ascii="Times New Roman" w:hAnsi="Times New Roman" w:eastAsia="仿宋" w:cs="Times New Roman"/>
          <w:b/>
          <w:sz w:val="28"/>
        </w:rPr>
        <w:t>一、同一控制下的持股平台替换：2.06%股份不足以解释</w:t>
      </w:r>
      <w:r>
        <w:rPr>
          <w:rFonts w:ascii="Times New Roman" w:hAnsi="Times New Roman" w:eastAsia="Times New Roman" w:cs="Times New Roman"/>
          <w:b/>
          <w:sz w:val="28"/>
        </w:rPr>
        <w:t>“</w:t>
      </w:r>
      <w:r>
        <w:rPr>
          <w:rFonts w:ascii="Times New Roman" w:hAnsi="Times New Roman" w:eastAsia="仿宋" w:cs="Times New Roman"/>
          <w:b/>
          <w:sz w:val="28"/>
        </w:rPr>
        <w:t>控制权易主</w:t>
      </w:r>
      <w:r>
        <w:rPr>
          <w:rFonts w:ascii="Times New Roman" w:hAnsi="Times New Roman" w:eastAsia="Times New Roman" w:cs="Times New Roman"/>
          <w:b/>
          <w:sz w:val="28"/>
        </w:rPr>
        <w:t>”</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7,949,308股无限售条件股份；占公司当时总股本2.06%；转让价格21.24元/股；转让价款合计人民币168,843,301.92元；协议转让；时间线包括2026年8月24日：山西汇景与厚得妙景签署《关于首华燃气科技（上海）股份有限公司之股份转让协议》；2026年8月25日：公司在巨潮资讯网发布《关；公告披露，转让前山西汇景持有首华燃气7,949,308股无限售条件股份，占公司当时总股本的2.06%；刘晋礼为一致行动人，公司实际控制人为刘庆礼、刘晋礼。2.06%的持股比例并不高，却足以让山西汇景位列控股股东，说明首华燃气对控股股东的认定以一致行动人体系和股东名册中的地位为参照，而非单一股东的绝对持股比例。这一细节决定了后续全部表述：真正决定控制权归属的是。</w:t>
      </w:r>
    </w:p>
    <w:p>
      <w:pPr>
        <w:spacing w:before="0" w:after="0" w:line="240" w:lineRule="auto" w:beforeLines="0" w:afterLines="0"/>
        <w:jc w:val="both"/>
        <w:ind w:firstLineChars="200"/>
      </w:pPr>
      <w:r>
        <w:rPr>
          <w:rFonts w:ascii="Times New Roman" w:hAnsi="Times New Roman" w:eastAsia="仿宋" w:cs="Times New Roman"/>
          <w:b w:val="0"/>
          <w:sz w:val="28"/>
        </w:rPr>
        <w:t>公开资料未单独披露厚得妙景受让股份的主观动机，也未披露其股东结构、实际控制人及与刘庆礼、刘晋礼的关系，因此不能把</w:t>
      </w:r>
      <w:r>
        <w:rPr>
          <w:rFonts w:ascii="Times New Roman" w:hAnsi="Times New Roman" w:eastAsia="Times New Roman" w:cs="Times New Roman"/>
          <w:b w:val="0"/>
          <w:sz w:val="28"/>
        </w:rPr>
        <w:t>“</w:t>
      </w:r>
      <w:r>
        <w:rPr>
          <w:rFonts w:ascii="Times New Roman" w:hAnsi="Times New Roman" w:eastAsia="仿宋" w:cs="Times New Roman"/>
          <w:b w:val="0"/>
          <w:sz w:val="28"/>
        </w:rPr>
        <w:t>看好燃气业务</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产业协同</w:t>
      </w:r>
      <w:r>
        <w:rPr>
          <w:rFonts w:ascii="Times New Roman" w:hAnsi="Times New Roman" w:eastAsia="Times New Roman" w:cs="Times New Roman"/>
          <w:b w:val="0"/>
          <w:sz w:val="28"/>
        </w:rPr>
        <w:t>”</w:t>
      </w:r>
      <w:r>
        <w:rPr>
          <w:rFonts w:ascii="Times New Roman" w:hAnsi="Times New Roman" w:eastAsia="仿宋" w:cs="Times New Roman"/>
          <w:b w:val="0"/>
          <w:sz w:val="28"/>
        </w:rPr>
        <w:t>写成购买理由。可从披露条款确认的客观安排是：厚得妙景以21.24元/股、合计168,843,301.92元受让7,949,308股，占当时总股本2.06%，过户后与刘晋礼共同成为控股股东，山西汇景退出，实际控制人仍为刘；就产业位置而言，可确认的是首华燃气为深交所创业板上市公司，交易标的是上市平台2.06%的股份，而非具体资产或业务；公开资料未披露其主营业务、资产分布、客户、产能、资源量、订单和财务规模，故无法判断行业景气、产业协同或资产注入可能。唯一可作的产业判断是：上市平台的控制权份额本身具有制度价值，但本案转让被限定在同一控制人内部，平台控制关系未外移，产业整合含义因此。</w:t>
      </w:r>
    </w:p>
    <w:p>
      <w:pPr>
        <w:spacing w:before="0" w:after="0" w:line="240" w:lineRule="auto" w:beforeLines="0" w:afterLines="0"/>
        <w:jc w:val="left"/>
        <w:ind w:firstLineChars="200"/>
      </w:pPr>
      <w:r>
        <w:rPr>
          <w:rFonts w:ascii="Times New Roman" w:hAnsi="Times New Roman" w:eastAsia="仿宋" w:cs="Times New Roman"/>
          <w:b/>
          <w:sz w:val="28"/>
        </w:rPr>
        <w:t>二、从8月24日签约到10月14日过户：协议转让的程序链条与合规边界</w:t>
      </w:r>
    </w:p>
    <w:p>
      <w:pPr>
        <w:spacing w:before="0" w:after="0" w:line="240" w:lineRule="auto" w:beforeLines="0" w:afterLines="0"/>
        <w:jc w:val="both"/>
        <w:ind w:firstLineChars="200"/>
      </w:pPr>
      <w:r>
        <w:rPr>
          <w:rFonts w:ascii="Times New Roman" w:hAnsi="Times New Roman" w:eastAsia="仿宋" w:cs="Times New Roman"/>
          <w:b w:val="0"/>
          <w:sz w:val="28"/>
        </w:rPr>
        <w:t>时间线不长，但节点完整。2026年8月24日，山西汇景与厚得妙景签署《关于首华燃气科技（上海）股份有限公司之股份转让协议》，约定前者将其持有的7,949,308股无限售条件股份以及由此衍生的全部股东权益和义务转让给后者，转让价格21.24元/股，价款合计人民币168,843,301.92元；2026年8月25日，首华燃气在巨潮资讯网披露《关于控股股东及其一致。</w:t>
      </w:r>
    </w:p>
    <w:p>
      <w:pPr>
        <w:spacing w:before="0" w:after="0" w:line="240" w:lineRule="auto" w:beforeLines="0" w:afterLines="0"/>
        <w:jc w:val="both"/>
        <w:ind w:firstLineChars="200"/>
      </w:pPr>
      <w:r>
        <w:rPr>
          <w:rFonts w:ascii="Times New Roman" w:hAnsi="Times New Roman" w:eastAsia="仿宋" w:cs="Times New Roman"/>
          <w:b w:val="0"/>
          <w:sz w:val="28"/>
        </w:rPr>
        <w:t>这条路径的选择本身有信息量。协议转让适用于特定主体之间的大宗股份处分，交易双方可以就价格、数量、交割条件直接约定，无需经过集中竞价；在本案定性下也不必履行要约程序。公告同时列示了本次转让不违反《中华人民共和国公司法》《上市公司收购管理办法》《深圳证券交易所创业板股票上市规则》《上市公司股东减持股份管理暂行办法》及深圳证券交易所相关自律监管指引等规定的结论，将。</w:t>
      </w:r>
    </w:p>
    <w:p>
      <w:pPr>
        <w:spacing w:before="0" w:after="0" w:line="240" w:lineRule="auto" w:beforeLines="0" w:afterLines="0"/>
        <w:jc w:val="both"/>
        <w:ind w:firstLineChars="200"/>
      </w:pPr>
      <w:r>
        <w:rPr>
          <w:rFonts w:ascii="Times New Roman" w:hAnsi="Times New Roman" w:eastAsia="仿宋" w:cs="Times New Roman"/>
          <w:b w:val="0"/>
          <w:sz w:val="28"/>
        </w:rPr>
        <w:t>程序上还需区分两个概念：股份过户完成不等于上市公司控制权交易完成。本案没有上市公司董事会或股东会决议，没有要约文件，也没有监管批复，推进主体在股东层面；上市公司仅以提示性公告和完成公告履行信息披露。这样的程序安排与</w:t>
      </w:r>
      <w:r>
        <w:rPr>
          <w:rFonts w:ascii="Times New Roman" w:hAnsi="Times New Roman" w:eastAsia="Times New Roman" w:cs="Times New Roman"/>
          <w:b w:val="0"/>
          <w:sz w:val="28"/>
        </w:rPr>
        <w:t>“</w:t>
      </w:r>
      <w:r>
        <w:rPr>
          <w:rFonts w:ascii="Times New Roman" w:hAnsi="Times New Roman" w:eastAsia="仿宋" w:cs="Times New Roman"/>
          <w:b w:val="0"/>
          <w:sz w:val="28"/>
        </w:rPr>
        <w:t>同一控制下内部转让</w:t>
      </w:r>
      <w:r>
        <w:rPr>
          <w:rFonts w:ascii="Times New Roman" w:hAnsi="Times New Roman" w:eastAsia="Times New Roman" w:cs="Times New Roman"/>
          <w:b w:val="0"/>
          <w:sz w:val="28"/>
        </w:rPr>
        <w:t>”</w:t>
      </w:r>
      <w:r>
        <w:rPr>
          <w:rFonts w:ascii="Times New Roman" w:hAnsi="Times New Roman" w:eastAsia="仿宋" w:cs="Times New Roman"/>
          <w:b w:val="0"/>
          <w:sz w:val="28"/>
        </w:rPr>
        <w:t>的定性相互匹配，但也使外部投资者难以通过上市公司公告完整观察交易双方的决策过程。公告披露了深交所合规确认和中登过户，却未披露。</w:t>
      </w:r>
    </w:p>
    <w:p>
      <w:pPr>
        <w:spacing w:before="0" w:after="0" w:line="240" w:lineRule="auto" w:beforeLines="0" w:afterLines="0"/>
        <w:jc w:val="left"/>
        <w:ind w:firstLineChars="200"/>
      </w:pPr>
      <w:r>
        <w:rPr>
          <w:rFonts w:ascii="Times New Roman" w:hAnsi="Times New Roman" w:eastAsia="仿宋" w:cs="Times New Roman"/>
          <w:b/>
          <w:sz w:val="28"/>
        </w:rPr>
        <w:t>三、把控制权拆成四层：实际控制人未变，控股股东与股东名册更替</w:t>
      </w:r>
    </w:p>
    <w:p>
      <w:pPr>
        <w:spacing w:before="0" w:after="0" w:line="240" w:lineRule="auto" w:beforeLines="0" w:afterLines="0"/>
        <w:jc w:val="both"/>
        <w:ind w:firstLineChars="200"/>
      </w:pPr>
      <w:r>
        <w:rPr>
          <w:rFonts w:ascii="Times New Roman" w:hAnsi="Times New Roman" w:eastAsia="仿宋" w:cs="Times New Roman"/>
          <w:b w:val="0"/>
          <w:sz w:val="28"/>
        </w:rPr>
        <w:t>同一份公告里，控制权实际被拆成四个层面分别表述。实际控制人层面，转让前后均为刘庆礼、刘晋礼，未发生任何变化；控股股东层面，由山西汇景变为厚得妙景与刘晋礼，主体名称发生更替；一致行动人层面，合计持股数量和比例不变，集合的边界没有移动；股东名册层面，山西汇景不再持有公司股份，厚得妙景新进7,949,308股。四个层面中只有第二层和第四层发生变化，第一层与第三层保。</w:t>
      </w:r>
    </w:p>
    <w:p>
      <w:pPr>
        <w:spacing w:before="0" w:after="0" w:line="240" w:lineRule="auto" w:beforeLines="0" w:afterLines="0"/>
        <w:jc w:val="both"/>
        <w:ind w:firstLineChars="200"/>
      </w:pPr>
      <w:r>
        <w:rPr>
          <w:rFonts w:ascii="Times New Roman" w:hAnsi="Times New Roman" w:eastAsia="仿宋" w:cs="Times New Roman"/>
          <w:b w:val="0"/>
          <w:sz w:val="28"/>
        </w:rPr>
        <w:t>2.06%的持股之所以能支撑</w:t>
      </w:r>
      <w:r>
        <w:rPr>
          <w:rFonts w:ascii="Times New Roman" w:hAnsi="Times New Roman" w:eastAsia="Times New Roman" w:cs="Times New Roman"/>
          <w:b w:val="0"/>
          <w:sz w:val="28"/>
        </w:rPr>
        <w:t>“</w:t>
      </w:r>
      <w:r>
        <w:rPr>
          <w:rFonts w:ascii="Times New Roman" w:hAnsi="Times New Roman" w:eastAsia="仿宋" w:cs="Times New Roman"/>
          <w:b w:val="0"/>
          <w:sz w:val="28"/>
        </w:rPr>
        <w:t>控股股东</w:t>
      </w:r>
      <w:r>
        <w:rPr>
          <w:rFonts w:ascii="Times New Roman" w:hAnsi="Times New Roman" w:eastAsia="Times New Roman" w:cs="Times New Roman"/>
          <w:b w:val="0"/>
          <w:sz w:val="28"/>
        </w:rPr>
        <w:t>”</w:t>
      </w:r>
      <w:r>
        <w:rPr>
          <w:rFonts w:ascii="Times New Roman" w:hAnsi="Times New Roman" w:eastAsia="仿宋" w:cs="Times New Roman"/>
          <w:b w:val="0"/>
          <w:sz w:val="28"/>
        </w:rPr>
        <w:t>的称谓，前提是它与刘晋礼所持股份合并计算后在股东名册中处于控股地位，且该合并关系被认定为一致行动关系。这意味着</w:t>
      </w:r>
      <w:r>
        <w:rPr>
          <w:rFonts w:ascii="Times New Roman" w:hAnsi="Times New Roman" w:eastAsia="Times New Roman" w:cs="Times New Roman"/>
          <w:b w:val="0"/>
          <w:sz w:val="28"/>
        </w:rPr>
        <w:t>“</w:t>
      </w:r>
      <w:r>
        <w:rPr>
          <w:rFonts w:ascii="Times New Roman" w:hAnsi="Times New Roman" w:eastAsia="仿宋" w:cs="Times New Roman"/>
          <w:b w:val="0"/>
          <w:sz w:val="28"/>
        </w:rPr>
        <w:t>控股股东</w:t>
      </w:r>
      <w:r>
        <w:rPr>
          <w:rFonts w:ascii="Times New Roman" w:hAnsi="Times New Roman" w:eastAsia="Times New Roman" w:cs="Times New Roman"/>
          <w:b w:val="0"/>
          <w:sz w:val="28"/>
        </w:rPr>
        <w:t>”</w:t>
      </w:r>
      <w:r>
        <w:rPr>
          <w:rFonts w:ascii="Times New Roman" w:hAnsi="Times New Roman" w:eastAsia="仿宋" w:cs="Times New Roman"/>
          <w:b w:val="0"/>
          <w:sz w:val="28"/>
        </w:rPr>
        <w:t>在本案中不是孤立主体的属性，而是一致行动人集合的属性；当集合内部的持股在成员之间重新分配时，集合本身不变，称谓却在成员之间转移。这一结构在A股并不罕见，但它对披露文本提出了更高要求：读者需要知道集合。</w:t>
      </w:r>
    </w:p>
    <w:p>
      <w:pPr>
        <w:spacing w:before="0" w:after="0" w:line="240" w:lineRule="auto" w:beforeLines="0" w:afterLines="0"/>
        <w:jc w:val="both"/>
        <w:ind w:firstLineChars="200"/>
      </w:pPr>
      <w:r>
        <w:rPr>
          <w:rFonts w:ascii="Times New Roman" w:hAnsi="Times New Roman" w:eastAsia="仿宋" w:cs="Times New Roman"/>
          <w:b w:val="0"/>
          <w:sz w:val="28"/>
        </w:rPr>
        <w:t>治理与承接层面，公告的表述是结论式的：本次协议转让对公司的资产、财务、业务等方面的独立性不产生影响，不存在损害上市公司及其他股东利益的情形，也不会对上市公司的经营管理产生实质性影响。这些判断在逻辑上可以成立——实际控制人未变，经营决策链条约率不因持股载体更替而改变；但公告并未提供支撑性事实，例如厚得妙景是否派驻董事、是否承继山西汇景此前的承诺、一致行动协议是否随之调整、控股股东义务如何衔接。</w:t>
      </w:r>
    </w:p>
    <w:p>
      <w:pPr>
        <w:spacing w:before="0" w:after="0" w:line="240" w:lineRule="auto" w:beforeLines="0" w:afterLines="0"/>
        <w:jc w:val="left"/>
        <w:ind w:firstLineChars="200"/>
      </w:pPr>
      <w:r>
        <w:rPr>
          <w:rFonts w:ascii="Times New Roman" w:hAnsi="Times New Roman" w:eastAsia="仿宋" w:cs="Times New Roman"/>
          <w:b/>
          <w:sz w:val="28"/>
        </w:rPr>
        <w:t>四、1.69亿元对价的财务含义与估值边界：可算比例，不可判高低</w:t>
      </w:r>
    </w:p>
    <w:p>
      <w:pPr>
        <w:spacing w:before="0" w:after="0" w:line="240" w:lineRule="auto" w:beforeLines="0" w:afterLines="0"/>
        <w:jc w:val="both"/>
        <w:ind w:firstLineChars="200"/>
      </w:pPr>
      <w:r>
        <w:rPr>
          <w:rFonts w:ascii="Times New Roman" w:hAnsi="Times New Roman" w:eastAsia="仿宋" w:cs="Times New Roman"/>
          <w:b w:val="0"/>
          <w:sz w:val="28"/>
        </w:rPr>
        <w:t>本案可核验的财务数据集中于交易本身：7,949,308股、占当时总股本2.06%、21.24元/股、价款合计168,843,301.92元，支付方式为协议转让，未披露分期或现金/股份构成。按对价除以2.06%机械推算，隐含全公司股权价值约81.96亿元；但2.06%为四舍五入后的比例，资料线索中385,274,740股未说明口径，不能直接当作总股本或一致行动。</w:t>
      </w:r>
    </w:p>
    <w:p>
      <w:pPr>
        <w:spacing w:before="0" w:after="0" w:line="240" w:lineRule="auto" w:beforeLines="0" w:afterLines="0"/>
        <w:jc w:val="both"/>
        <w:ind w:firstLineChars="200"/>
      </w:pPr>
      <w:r>
        <w:rPr>
          <w:rFonts w:ascii="Times New Roman" w:hAnsi="Times New Roman" w:eastAsia="仿宋" w:cs="Times New Roman"/>
          <w:b w:val="0"/>
          <w:sz w:val="28"/>
        </w:rPr>
        <w:t>财务影响层面，公告的定性结论是本次转让对上市公司资产、财务、业务独立性不产生影响，不会对经营管理产生实质性影响。由于转让发生在控股股东及其一致行动人之间，上市公司合并范围不变，不产生商誉，也不形成新的对外负债；对上市公司报表的直接冲击有限。真正需要观察的是控股股东层面的财务约束：厚得妙景支付1.69亿元对价的资金来源、是否涉及外部融资、是否设置股份质押，均未。</w:t>
      </w:r>
    </w:p>
    <w:p>
      <w:pPr>
        <w:spacing w:before="0" w:after="0" w:line="240" w:lineRule="auto" w:beforeLines="0" w:afterLines="0"/>
        <w:jc w:val="left"/>
        <w:ind w:firstLineChars="200"/>
      </w:pPr>
      <w:r>
        <w:rPr>
          <w:rFonts w:ascii="Times New Roman" w:hAnsi="Times New Roman" w:eastAsia="仿宋" w:cs="Times New Roman"/>
          <w:b/>
          <w:sz w:val="28"/>
        </w:rPr>
        <w:t>五、披露缺口与承接安排：治理、承诺与后续义务尚待文件验证</w:t>
      </w:r>
    </w:p>
    <w:p>
      <w:pPr>
        <w:spacing w:before="0" w:after="0" w:line="240" w:lineRule="auto" w:beforeLines="0" w:afterLines="0"/>
        <w:jc w:val="both"/>
        <w:ind w:firstLineChars="200"/>
      </w:pPr>
      <w:r>
        <w:rPr>
          <w:rFonts w:ascii="Times New Roman" w:hAnsi="Times New Roman" w:eastAsia="仿宋" w:cs="Times New Roman"/>
          <w:b w:val="0"/>
          <w:sz w:val="28"/>
        </w:rPr>
        <w:t>本案的披露边界相当清晰：交易双方主观动机、21.24元/股的定价依据、支付节奏与资金来源、厚得妙景的股东和实际控制人结构、转让前完整股东名册及一致行动人合计持股、首华燃气财务经营数据、后续董事席位与资本运作计划，均未在给定资料中披露。2026-081号提示性公告全文不在材料包内，深交所合规确认日期亦未披露。因此，对交易的理解必须区分</w:t>
      </w:r>
      <w:r>
        <w:rPr>
          <w:rFonts w:ascii="Times New Roman" w:hAnsi="Times New Roman" w:eastAsia="Times New Roman" w:cs="Times New Roman"/>
          <w:b w:val="0"/>
          <w:sz w:val="28"/>
        </w:rPr>
        <w:t>“</w:t>
      </w:r>
      <w:r>
        <w:rPr>
          <w:rFonts w:ascii="Times New Roman" w:hAnsi="Times New Roman" w:eastAsia="仿宋" w:cs="Times New Roman"/>
          <w:b w:val="0"/>
          <w:sz w:val="28"/>
        </w:rPr>
        <w:t>公告结论</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已证事实</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both"/>
        <w:ind w:firstLineChars="200"/>
      </w:pPr>
      <w:r>
        <w:rPr>
          <w:rFonts w:ascii="Times New Roman" w:hAnsi="Times New Roman" w:eastAsia="仿宋" w:cs="Times New Roman"/>
          <w:b w:val="0"/>
          <w:sz w:val="28"/>
        </w:rPr>
        <w:t>对同类交易而言，可操作的核验清单应围绕控制权四层展开：第一，取得转让前后完整股东名册，确认一致行动人集合的成员、各自持股与合计比例；第二，核查同一控制关系的股权链条，确认受让方与现有实际控制人之间的关系，避免把内部转让误判为外部收购；第三，核查转让协议中的价款支付、过户条件、承诺承继、违约责任与表决权安排；第四，核查受让方是否承继原控股股东在上市公司中的公开。</w:t>
      </w:r>
    </w:p>
    <w:p>
      <w:pPr>
        <w:spacing w:before="0" w:after="0" w:line="240" w:lineRule="auto" w:beforeLines="0" w:afterLines="0"/>
        <w:jc w:val="left"/>
        <w:ind w:firstLineChars="200"/>
      </w:pPr>
      <w:r>
        <w:rPr>
          <w:rFonts w:ascii="Times New Roman" w:hAnsi="Times New Roman" w:eastAsia="仿宋" w:cs="Times New Roman"/>
          <w:b/>
          <w:sz w:val="28"/>
        </w:rPr>
        <w:t>六、结语：要约与控制权安排的核验方法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上海厚得妙景商务咨询与首华燃气科技上海，本案的方法论意义不在于把交易结果写成通用并购总结，而在于把7,949,308股无限售条件股份；占公司当时总股本2.06%；转让价格21.24元/股；转让价款合计人民币168,843,301.92元；协议转让、转让股份数量：7,949,308股无限售条件股份；占公司当时总股本比例：2.06%；转让价格：21.24元/股；转让价款合计：人民币168,843,301.92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厚得妙景商务咨询而言，关键是交割承接和整合节奏能否与已披露安排匹配；对首华燃气科技上海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