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上海峄昕收购奥佳华10%股份：要约与控制权安排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本案例涉及上海峄昕（下称</w:t>
      </w:r>
      <w:r>
        <w:rPr>
          <w:rFonts w:ascii="Times New Roman" w:hAnsi="Times New Roman" w:eastAsia="Times New Roman" w:cs="Times New Roman"/>
          <w:b w:val="0"/>
          <w:sz w:val="28"/>
        </w:rPr>
        <w:t>“</w:t>
      </w:r>
      <w:r>
        <w:rPr>
          <w:rFonts w:ascii="Times New Roman" w:hAnsi="Times New Roman" w:eastAsia="仿宋" w:cs="Times New Roman"/>
          <w:b w:val="0"/>
          <w:sz w:val="28"/>
        </w:rPr>
        <w:t>上海峄昕</w:t>
      </w:r>
      <w:r>
        <w:rPr>
          <w:rFonts w:ascii="Times New Roman" w:hAnsi="Times New Roman" w:eastAsia="Times New Roman" w:cs="Times New Roman"/>
          <w:b w:val="0"/>
          <w:sz w:val="28"/>
        </w:rPr>
        <w:t>”</w:t>
      </w:r>
      <w:r>
        <w:rPr>
          <w:rFonts w:ascii="Times New Roman" w:hAnsi="Times New Roman" w:eastAsia="仿宋" w:cs="Times New Roman"/>
          <w:b w:val="0"/>
          <w:sz w:val="28"/>
        </w:rPr>
        <w:t>）收购奥佳华10%股份（下称</w:t>
      </w:r>
      <w:r>
        <w:rPr>
          <w:rFonts w:ascii="Times New Roman" w:hAnsi="Times New Roman" w:eastAsia="Times New Roman" w:cs="Times New Roman"/>
          <w:b w:val="0"/>
          <w:sz w:val="28"/>
        </w:rPr>
        <w:t>“</w:t>
      </w:r>
      <w:r>
        <w:rPr>
          <w:rFonts w:ascii="Times New Roman" w:hAnsi="Times New Roman" w:eastAsia="仿宋" w:cs="Times New Roman"/>
          <w:b w:val="0"/>
          <w:sz w:val="28"/>
        </w:rPr>
        <w:t>奥佳华10%股份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公司股东协议转让股份完成过户登记的公告》，目标线索为公开资料未单独披露受让方主观受让原因。可引用的客观安排包括：上海峄昕通过协议转让受让62,373,921股，占奥佳华总股本10.000%；公告披露受让方已承诺不谋求控制权；并承诺自股份过户完成之日起18个月内，不通过任何方式（包括但不限于集中竞价、大宗交易、协议转让）转让、减持本次受让股份。。2026年10月21日，62,373,921股奥佳华智能健康科技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奥佳华</w:t>
      </w:r>
      <w:r>
        <w:rPr>
          <w:rFonts w:ascii="Times New Roman" w:hAnsi="Times New Roman" w:eastAsia="Times New Roman" w:cs="Times New Roman"/>
          <w:b w:val="0"/>
          <w:sz w:val="28"/>
        </w:rPr>
        <w:t>”</w:t>
      </w:r>
      <w:r>
        <w:rPr>
          <w:rFonts w:ascii="Times New Roman" w:hAnsi="Times New Roman" w:eastAsia="仿宋" w:cs="Times New Roman"/>
          <w:b w:val="0"/>
          <w:sz w:val="28"/>
        </w:rPr>
        <w:t>，002614）无限售条件流通股完成过户，受让方上海峄昕私募基金管理有限公司（下称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上海峄昕</w:t>
      </w:r>
      <w:r>
        <w:rPr>
          <w:rFonts w:ascii="Times New Roman" w:hAnsi="Times New Roman" w:eastAsia="Times New Roman" w:cs="Times New Roman"/>
          <w:b w:val="0"/>
          <w:sz w:val="28"/>
        </w:rPr>
        <w:t>”</w:t>
      </w:r>
      <w:r>
        <w:rPr>
          <w:rFonts w:ascii="Times New Roman" w:hAnsi="Times New Roman" w:eastAsia="仿宋" w:cs="Times New Roman"/>
          <w:b w:val="0"/>
          <w:sz w:val="28"/>
        </w:rPr>
        <w:t>）（代表</w:t>
      </w:r>
      <w:r>
        <w:rPr>
          <w:rFonts w:ascii="Times New Roman" w:hAnsi="Times New Roman" w:eastAsia="Times New Roman" w:cs="Times New Roman"/>
          <w:b w:val="0"/>
          <w:sz w:val="28"/>
        </w:rPr>
        <w:t>“</w:t>
      </w:r>
      <w:r>
        <w:rPr>
          <w:rFonts w:ascii="Times New Roman" w:hAnsi="Times New Roman" w:eastAsia="仿宋" w:cs="Times New Roman"/>
          <w:b w:val="0"/>
          <w:sz w:val="28"/>
        </w:rPr>
        <w:t>峄昕澄真尊享三号私募证券投资基金</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上海峄昕</w:t>
      </w:r>
      <w:r>
        <w:rPr>
          <w:rFonts w:ascii="Times New Roman" w:hAnsi="Times New Roman" w:eastAsia="Times New Roman" w:cs="Times New Roman"/>
          <w:b w:val="0"/>
          <w:sz w:val="28"/>
        </w:rPr>
        <w:t>”</w:t>
      </w:r>
      <w:r>
        <w:rPr>
          <w:rFonts w:ascii="Times New Roman" w:hAnsi="Times New Roman" w:eastAsia="仿宋" w:cs="Times New Roman"/>
          <w:b w:val="0"/>
          <w:sz w:val="28"/>
        </w:rPr>
        <w:t>）由此持有奥佳华总股本的10.000%，中国证券登记结算有限责任公司（下称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中国结算</w:t>
      </w:r>
      <w:r>
        <w:rPr>
          <w:rFonts w:ascii="Times New Roman" w:hAnsi="Times New Roman" w:eastAsia="Times New Roman" w:cs="Times New Roman"/>
          <w:b w:val="0"/>
          <w:sz w:val="28"/>
        </w:rPr>
        <w:t>”</w:t>
      </w:r>
      <w:r>
        <w:rPr>
          <w:rFonts w:ascii="Times New Roman" w:hAnsi="Times New Roman" w:eastAsia="仿宋" w:cs="Times New Roman"/>
          <w:b w:val="0"/>
          <w:sz w:val="28"/>
        </w:rPr>
        <w:t>）于10月22日出具《证券过户登记确认书》。这笔交易的决策价值不在比例本身，而在四个条件同时成立：一次性取得10.000%、在股东层面以协议转让完成、受让方承诺不谋求控制权、自过户完成日起18个月内不转让不减持本次受让股份。它同时划定了一条披露边界：交易对价、估值与双方主观动机均未公开，结论只能止于结构与程序。对拟以协议转让取得上市公司大比例少数股权的基金管理人，这是一份可执行的流程样本；对投委会，它提示了哪些事项必须在签约前核验完毕。</w:t>
      </w:r>
    </w:p>
    <w:p>
      <w:pPr>
        <w:spacing w:before="0" w:after="0" w:line="240" w:lineRule="auto" w:beforeLines="0" w:afterLines="0"/>
        <w:jc w:val="left"/>
        <w:ind w:firstLineChars="200"/>
      </w:pPr>
      <w:r>
        <w:rPr>
          <w:rFonts w:ascii="Times New Roman" w:hAnsi="Times New Roman" w:eastAsia="仿宋" w:cs="Times New Roman"/>
          <w:b/>
          <w:sz w:val="28"/>
        </w:rPr>
        <w:t>一、控制权状态先于交易存在：10.000%是既定股权结构内选定的比例</w:t>
      </w:r>
    </w:p>
    <w:p>
      <w:pPr>
        <w:spacing w:before="0" w:after="0" w:line="240" w:lineRule="auto" w:beforeLines="0" w:afterLines="0"/>
        <w:jc w:val="both"/>
        <w:ind w:firstLineChars="200"/>
      </w:pPr>
      <w:r>
        <w:rPr>
          <w:rFonts w:ascii="Times New Roman" w:hAnsi="Times New Roman" w:eastAsia="仿宋" w:cs="Times New Roman"/>
          <w:b w:val="0"/>
          <w:sz w:val="28"/>
        </w:rPr>
        <w:t>本次转让不创造控制权，只改变股东名册中10.000%这一位置的持有人。按62,373,921股对应总股本10.000%推算，奥佳华总股本约为623,739,210股。交易前，邹剑寒持有127,620,000股、占20.460%，为第一大股东并与李五令共同构成控股股东、实际控制人；魏罡为公司股东；上海峄昕持股0股、占比0.000%。公告持股变动表中另列有15.345%与18.024%两组比例，因公开抽取文本未完整呈现表内各行对应关系，各转让方逐笔转让股数与转让后比例应以公告原表核对，不宜按数值倒推。就产业判断而言，公开资料未披露奥佳华的产品结构、渠道、产能、员工规模以及营业收入、净利润、现金流等经营和财务数据，本案例不对健康科技赛道的景气度、协同空间或标的估值水平下结论；可讨论的只是上市平台的资本意义：受让的62,373,921股为无限售条件流通股，其价值实现取决于奥佳华未来经营与资本市场状态。</w:t>
      </w:r>
    </w:p>
    <w:p>
      <w:pPr>
        <w:spacing w:before="0" w:after="0" w:line="240" w:lineRule="auto" w:beforeLines="0" w:afterLines="0"/>
        <w:jc w:val="both"/>
        <w:ind w:firstLineChars="200"/>
      </w:pPr>
      <w:r>
        <w:rPr>
          <w:rFonts w:ascii="Times New Roman" w:hAnsi="Times New Roman" w:eastAsia="仿宋" w:cs="Times New Roman"/>
          <w:b w:val="0"/>
          <w:sz w:val="28"/>
        </w:rPr>
        <w:t>在邹剑寒、李五令维持控股地位的前提下，单一受让方能够取得的股份存在事实上限，10.000%即落在这一上限之内：它足以使受让方成为股东名册与股东大会层面无法被忽视的股东，又不足以改变控制格局，从而无须被界定为对上市公司的收购。三名转让方分别与同一受让方签约、各自处分自有股份，在受让方一侧归集为单一10.000%，这一执行安排对双方均有实际意义：各笔转让的数量、价格与违约责任可独立约定，任一笔的履约瑕疵不必牵动其余两笔，归集后才形成达到披露门槛的持股比例。控制权状态先于交易存在，是理解本案全部条款的前提；把它误读为控制权安排，就会连带误读后文的承诺组合与锁定期。</w:t>
      </w:r>
    </w:p>
    <w:p>
      <w:pPr>
        <w:spacing w:before="0" w:after="0" w:line="240" w:lineRule="auto" w:beforeLines="0" w:afterLines="0"/>
        <w:jc w:val="left"/>
        <w:ind w:firstLineChars="200"/>
      </w:pPr>
      <w:r>
        <w:rPr>
          <w:rFonts w:ascii="Times New Roman" w:hAnsi="Times New Roman" w:eastAsia="仿宋" w:cs="Times New Roman"/>
          <w:b/>
          <w:sz w:val="28"/>
        </w:rPr>
        <w:t>二、从9月17日签约到10月21日过户：股东层面的发起与披露一致性</w:t>
      </w:r>
    </w:p>
    <w:p>
      <w:pPr>
        <w:spacing w:before="0" w:after="0" w:line="240" w:lineRule="auto" w:beforeLines="0" w:afterLines="0"/>
        <w:jc w:val="both"/>
        <w:ind w:firstLineChars="200"/>
      </w:pPr>
      <w:r>
        <w:rPr>
          <w:rFonts w:ascii="Times New Roman" w:hAnsi="Times New Roman" w:eastAsia="仿宋" w:cs="Times New Roman"/>
          <w:b w:val="0"/>
          <w:sz w:val="28"/>
        </w:rPr>
        <w:t>交易由股东层面发起。2026年9月17日，邹剑寒、李五令、魏罡分别与上海峄昕签署《上市公司股份协议转让合同》；9月24日，三方分别签署《〈上市公司股份协议转让合同〉补充协议》，约定合计转让62,373,921股无限售条件流通股，占奥佳华总股本10.000%。上市公司履行的是信息披露义务：9月19日披露《关于公司股东股份协议转让的提示性公告》（公告编号：202。</w:t>
      </w:r>
    </w:p>
    <w:p>
      <w:pPr>
        <w:spacing w:before="0" w:after="0" w:line="240" w:lineRule="auto" w:beforeLines="0" w:afterLines="0"/>
        <w:jc w:val="both"/>
        <w:ind w:firstLineChars="200"/>
      </w:pPr>
      <w:r>
        <w:rPr>
          <w:rFonts w:ascii="Times New Roman" w:hAnsi="Times New Roman" w:eastAsia="仿宋" w:cs="Times New Roman"/>
          <w:b w:val="0"/>
          <w:sz w:val="28"/>
        </w:rPr>
        <w:t>完成公告称</w:t>
      </w:r>
      <w:r>
        <w:rPr>
          <w:rFonts w:ascii="Times New Roman" w:hAnsi="Times New Roman" w:eastAsia="Times New Roman" w:cs="Times New Roman"/>
          <w:b w:val="0"/>
          <w:sz w:val="28"/>
        </w:rPr>
        <w:t>“</w:t>
      </w:r>
      <w:r>
        <w:rPr>
          <w:rFonts w:ascii="Times New Roman" w:hAnsi="Times New Roman" w:eastAsia="仿宋" w:cs="Times New Roman"/>
          <w:b w:val="0"/>
          <w:sz w:val="28"/>
        </w:rPr>
        <w:t>本次协议转让办理情况与前期披露情况、相关协议约定安排一致</w:t>
      </w:r>
      <w:r>
        <w:rPr>
          <w:rFonts w:ascii="Times New Roman" w:hAnsi="Times New Roman" w:eastAsia="Times New Roman" w:cs="Times New Roman"/>
          <w:b w:val="0"/>
          <w:sz w:val="28"/>
        </w:rPr>
        <w:t>”</w:t>
      </w:r>
      <w:r>
        <w:rPr>
          <w:rFonts w:ascii="Times New Roman" w:hAnsi="Times New Roman" w:eastAsia="仿宋" w:cs="Times New Roman"/>
          <w:b w:val="0"/>
          <w:sz w:val="28"/>
        </w:rPr>
        <w:t>，这一表述的分量在于：从9月19日提示性公告到10月23日完成公告，交易的数量、比例、股份性质与承诺安排未出现前后矛盾。合同与补充协议相隔七日，公开资料未披露补充协议内容，只能确认其存在与签署日期，不能据此推断价格、数量或交割条件发生过何种调整。对同类交易而言，这条链上的三个节点缺一不可：合同锁定数量与比例、交易所合规确认、登记过户；任一环节未通过，10.000%都不会落地。深交所合规性确认的具体日期未披露，属于需向交易方核取的执行细节，不能以公告披露日替代。</w:t>
      </w:r>
    </w:p>
    <w:p>
      <w:pPr>
        <w:spacing w:before="0" w:after="0" w:line="240" w:lineRule="auto" w:beforeLines="0" w:afterLines="0"/>
        <w:jc w:val="left"/>
        <w:ind w:firstLineChars="200"/>
      </w:pPr>
      <w:r>
        <w:rPr>
          <w:rFonts w:ascii="Times New Roman" w:hAnsi="Times New Roman" w:eastAsia="仿宋" w:cs="Times New Roman"/>
          <w:b/>
          <w:sz w:val="28"/>
        </w:rPr>
        <w:t>三、不谋求控制权与18个月锁定：承诺划出的治理边界与流动性边界</w:t>
      </w:r>
    </w:p>
    <w:p>
      <w:pPr>
        <w:spacing w:before="0" w:after="0" w:line="240" w:lineRule="auto" w:beforeLines="0" w:afterLines="0"/>
        <w:jc w:val="both"/>
        <w:ind w:firstLineChars="200"/>
      </w:pPr>
      <w:r>
        <w:rPr>
          <w:rFonts w:ascii="Times New Roman" w:hAnsi="Times New Roman" w:eastAsia="仿宋" w:cs="Times New Roman"/>
          <w:b w:val="0"/>
          <w:sz w:val="28"/>
        </w:rPr>
        <w:t>公告对交易性质作了三句界定：本次转让未触及要约收购，不涉及关联交易，受让方已承诺不谋求控制权，本次转让不会导致控股股东及实际控制人发生变化，控股股东、实际控制人仍为邹剑寒、李五令。三句互为条件：受让方以承诺明示不谋求控制权，使交易在制度上不被界定为对上市公司的收购，因而不必触发要约义务；双方不存在关联关系，无须进入关联交易审议程序；控制权不变，上市公司的治理。</w:t>
      </w:r>
    </w:p>
    <w:p>
      <w:pPr>
        <w:spacing w:before="0" w:after="0" w:line="240" w:lineRule="auto" w:beforeLines="0" w:afterLines="0"/>
        <w:jc w:val="both"/>
        <w:ind w:firstLineChars="200"/>
      </w:pPr>
      <w:r>
        <w:rPr>
          <w:rFonts w:ascii="Times New Roman" w:hAnsi="Times New Roman" w:eastAsia="仿宋" w:cs="Times New Roman"/>
          <w:b w:val="0"/>
          <w:sz w:val="28"/>
        </w:rPr>
        <w:t>18个月锁定是对流动性影响最直接的一条。本次受让股份性质为无限售条件流通股，锁定期并非股份固有属性，而是受让方在交易中作出的承诺：自股份过户完成之日起18个月内，不通过任何方式（包括但不限于集中竞价、大宗交易、协议转让）转让、减持本次受让股份。条款列举三种主要处置路径并以</w:t>
      </w:r>
      <w:r>
        <w:rPr>
          <w:rFonts w:ascii="Times New Roman" w:hAnsi="Times New Roman" w:eastAsia="Times New Roman" w:cs="Times New Roman"/>
          <w:b w:val="0"/>
          <w:sz w:val="28"/>
        </w:rPr>
        <w:t>“</w:t>
      </w:r>
      <w:r>
        <w:rPr>
          <w:rFonts w:ascii="Times New Roman" w:hAnsi="Times New Roman" w:eastAsia="仿宋" w:cs="Times New Roman"/>
          <w:b w:val="0"/>
          <w:sz w:val="28"/>
        </w:rPr>
        <w:t>任何方式</w:t>
      </w:r>
      <w:r>
        <w:rPr>
          <w:rFonts w:ascii="Times New Roman" w:hAnsi="Times New Roman" w:eastAsia="Times New Roman" w:cs="Times New Roman"/>
          <w:b w:val="0"/>
          <w:sz w:val="28"/>
        </w:rPr>
        <w:t>”</w:t>
      </w:r>
      <w:r>
        <w:rPr>
          <w:rFonts w:ascii="Times New Roman" w:hAnsi="Times New Roman" w:eastAsia="仿宋" w:cs="Times New Roman"/>
          <w:b w:val="0"/>
          <w:sz w:val="28"/>
        </w:rPr>
        <w:t>兜底，目的在于排除过户后短期内的任何渠道退出。对以基金产品为受让主体的机构而。</w:t>
      </w:r>
    </w:p>
    <w:p>
      <w:pPr>
        <w:spacing w:before="0" w:after="0" w:line="240" w:lineRule="auto" w:beforeLines="0" w:afterLines="0"/>
        <w:jc w:val="both"/>
        <w:ind w:firstLineChars="200"/>
      </w:pPr>
      <w:r>
        <w:rPr>
          <w:rFonts w:ascii="Times New Roman" w:hAnsi="Times New Roman" w:eastAsia="仿宋" w:cs="Times New Roman"/>
          <w:b w:val="0"/>
          <w:sz w:val="28"/>
        </w:rPr>
        <w:t>锁定期与不谋求控制权承诺叠加，使受让方在18个月内更接近被动的财务持有人：它能改变股东结构，却既无控制权意图，也无处置弹性。承诺只覆盖本次受让股份，不构成对转让方剩余股份的约束；承诺期满后的处置仍须遵守《上市公司股东减持股份管理暂行办法》及深交所相关自律监管指引，公告对此已有明示。后续值得关注的是锁定期内治理参与方式的披露、是否存在董事席位安排的披露、承诺期满后的股份处置节奏，以及承诺违约责任的补充说明。这些内容目前均未披露，不宜代为设想。</w:t>
      </w:r>
    </w:p>
    <w:p>
      <w:pPr>
        <w:spacing w:before="0" w:after="0" w:line="240" w:lineRule="auto" w:beforeLines="0" w:afterLines="0"/>
        <w:jc w:val="left"/>
        <w:ind w:firstLineChars="200"/>
      </w:pPr>
      <w:r>
        <w:rPr>
          <w:rFonts w:ascii="Times New Roman" w:hAnsi="Times New Roman" w:eastAsia="仿宋" w:cs="Times New Roman"/>
          <w:b/>
          <w:sz w:val="28"/>
        </w:rPr>
        <w:t>四、以确定性替代渐进建仓：路径选择、财务影响与披露缺口</w:t>
      </w:r>
    </w:p>
    <w:p>
      <w:pPr>
        <w:spacing w:before="0" w:after="0" w:line="240" w:lineRule="auto" w:beforeLines="0" w:afterLines="0"/>
        <w:jc w:val="both"/>
        <w:ind w:firstLineChars="200"/>
      </w:pPr>
      <w:r>
        <w:rPr>
          <w:rFonts w:ascii="Times New Roman" w:hAnsi="Times New Roman" w:eastAsia="仿宋" w:cs="Times New Roman"/>
          <w:b w:val="0"/>
          <w:sz w:val="28"/>
        </w:rPr>
        <w:t>取得10.000%至少有三种路径。集中竞价需要更长时间，并承受价格波动与股份供给的不确定性；大宗交易受单笔规模与对手方约束，一次性凑足难度较大；协议转让可以把数量、比例、价格与交割条件写入合同，在签约时锁定结果，代价是受让方没有逐步建仓、边走边验证的空间，判断必须在签约前完成，并须经交易所合规确认与权益变动披露。本案选择协议转让，实质是以确定性替代渐进建仓。10.000%这一比例同时服务三方需求：对受让方是有分量的少数股权，对转让方是一次性完成有规模股份处分的工具，对上市公司则小到不必改变控制权、不触发要约收购、不构成关联交易。</w:t>
      </w:r>
    </w:p>
    <w:p>
      <w:pPr>
        <w:spacing w:before="0" w:after="0" w:line="240" w:lineRule="auto" w:beforeLines="0" w:afterLines="0"/>
        <w:jc w:val="both"/>
        <w:ind w:firstLineChars="200"/>
      </w:pPr>
      <w:r>
        <w:rPr>
          <w:rFonts w:ascii="Times New Roman" w:hAnsi="Times New Roman" w:eastAsia="仿宋" w:cs="Times New Roman"/>
          <w:b w:val="0"/>
          <w:sz w:val="28"/>
        </w:rPr>
        <w:t>财务影响必须分两层。就奥佳华而言，本次转让是股东之间的股份处分，公司未发行新股、未取得对价，股本总额与所有者权益不因过户而变化，10.000%的持股变动不改变合并报表范围，也不改变控股股东与实际控制人，公告所称不会对治理结构及持续经营产生重大影响应被理解为这一层面的表述，而非对经营结果的保证。就受让方而言，交易对价与估值未披露，既无法测算资金占用规模，也无法。</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三个事实层面。股权结构上，邹剑寒、李五令仍为奥佳华控股股东、实际控制人，上海峄昕以62,373,921股、10.000%成为有分量的少数股东；交易安排上，股东层面的协议转让、不谋求控制权承诺与18个月锁定共同构成边界，使交易既非控制权收购，也非普通二级市场买入；披露上，对价、动机与经营数据均未公开，结论只能止于结构与程序。对同类交易的方法论意义在于：当基金以协议转让取得上市公司大比例少数股权时，比例设计、承诺组合与交割流程可以事先设计并逐项验证，而定价合理性与产业协同必须依靠补充披露与独立尽调；可复制的是结构与程序，不可复制的是定价与动机。</w:t>
      </w:r>
    </w:p>
    <w:p>
      <w:pPr>
        <w:spacing w:before="0" w:after="0" w:line="240" w:lineRule="auto" w:beforeLines="0" w:afterLines="0"/>
        <w:jc w:val="both"/>
        <w:ind w:firstLineChars="200"/>
      </w:pPr>
      <w:r>
        <w:rPr>
          <w:rFonts w:ascii="Times New Roman" w:hAnsi="Times New Roman" w:eastAsia="仿宋" w:cs="Times New Roman"/>
          <w:b w:val="0"/>
          <w:sz w:val="28"/>
        </w:rPr>
        <w:t>因此，本案真正被锁定的是三件事：62,373,921股的持有人身份、这批股份在18个月内的不可处置性，以及控股股东与实际控制人在过户前后的连续性。</w:t>
      </w:r>
      <w:r>
        <w:rPr>
          <w:rFonts w:ascii="Times New Roman" w:hAnsi="Times New Roman" w:eastAsia="Times New Roman" w:cs="Times New Roman"/>
          <w:b w:val="0"/>
          <w:sz w:val="28"/>
        </w:rPr>
        <w:t>“</w:t>
      </w:r>
      <w:r>
        <w:rPr>
          <w:rFonts w:ascii="Times New Roman" w:hAnsi="Times New Roman" w:eastAsia="仿宋" w:cs="Times New Roman"/>
          <w:b w:val="0"/>
          <w:sz w:val="28"/>
        </w:rPr>
        <w:t>PE入股上市公司</w:t>
      </w:r>
      <w:r>
        <w:rPr>
          <w:rFonts w:ascii="Times New Roman" w:hAnsi="Times New Roman" w:eastAsia="Times New Roman" w:cs="Times New Roman"/>
          <w:b w:val="0"/>
          <w:sz w:val="28"/>
        </w:rPr>
        <w:t>”</w:t>
      </w:r>
      <w:r>
        <w:rPr>
          <w:rFonts w:ascii="Times New Roman" w:hAnsi="Times New Roman" w:eastAsia="仿宋" w:cs="Times New Roman"/>
          <w:b w:val="0"/>
          <w:sz w:val="28"/>
        </w:rPr>
        <w:t>不应自动读解为赋能、协同或控制权前奏，不谋求控制权承诺也不应读解为永久放弃治理参与。10.000%没有改变奥佳华的控制权，它改变的是股东名册的构成与这62,373,921股的处置节奏；后续需要跟踪的是锁定期内的治理参与披露、承诺期满后的股份处置安排，以及尚未公开的定价信息是否在后续文件中补足。</w:t>
      </w:r>
    </w:p>
    <w:p>
      <w:pPr>
        <w:spacing w:before="0" w:after="0" w:line="240" w:lineRule="auto" w:beforeLines="0" w:afterLines="0"/>
        <w:jc w:val="both"/>
        <w:ind w:firstLineChars="200"/>
      </w:pPr>
      <w:r>
        <w:rPr>
          <w:rFonts w:ascii="Times New Roman" w:hAnsi="Times New Roman" w:eastAsia="仿宋" w:cs="Times New Roman"/>
          <w:b w:val="0"/>
          <w:sz w:val="28"/>
        </w:rPr>
        <w:t>回到上海峄昕与奥佳华10%股份，本案的方法论意义不在于把交易结果写成通用并购总结，而在于把公开资料未披露交易对价/估值；标的股份数量为62,373,921股，占奥佳华总股本10.000%；交易方式为上市公司股份协议转让、62,373,921股；10.000%；18个月；2026-09-17、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峄昕而言，关键是交割承接和整合节奏能否与已披露安排匹配；对奥佳华10%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