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杨宝和先生收购海默科技10.8%股：协议转让与交割条件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本案例涉及杨宝和先生（下称</w:t>
      </w:r>
      <w:r>
        <w:rPr>
          <w:rFonts w:ascii="Times New Roman" w:hAnsi="Times New Roman" w:eastAsia="Times New Roman" w:cs="Times New Roman"/>
          <w:b w:val="0"/>
          <w:sz w:val="28"/>
        </w:rPr>
        <w:t>“</w:t>
      </w:r>
      <w:r>
        <w:rPr>
          <w:rFonts w:ascii="Times New Roman" w:hAnsi="Times New Roman" w:eastAsia="仿宋" w:cs="Times New Roman"/>
          <w:b w:val="0"/>
          <w:sz w:val="28"/>
        </w:rPr>
        <w:t>杨宝和先生</w:t>
      </w:r>
      <w:r>
        <w:rPr>
          <w:rFonts w:ascii="Times New Roman" w:hAnsi="Times New Roman" w:eastAsia="Times New Roman" w:cs="Times New Roman"/>
          <w:b w:val="0"/>
          <w:sz w:val="28"/>
        </w:rPr>
        <w:t>”</w:t>
      </w:r>
      <w:r>
        <w:rPr>
          <w:rFonts w:ascii="Times New Roman" w:hAnsi="Times New Roman" w:eastAsia="仿宋" w:cs="Times New Roman"/>
          <w:b w:val="0"/>
          <w:sz w:val="28"/>
        </w:rPr>
        <w:t>）收购海默科技10.8%股份（下称</w:t>
      </w:r>
      <w:r>
        <w:rPr>
          <w:rFonts w:ascii="Times New Roman" w:hAnsi="Times New Roman" w:eastAsia="Times New Roman" w:cs="Times New Roman"/>
          <w:b w:val="0"/>
          <w:sz w:val="28"/>
        </w:rPr>
        <w:t>“</w:t>
      </w:r>
      <w:r>
        <w:rPr>
          <w:rFonts w:ascii="Times New Roman" w:hAnsi="Times New Roman" w:eastAsia="仿宋" w:cs="Times New Roman"/>
          <w:b w:val="0"/>
          <w:sz w:val="28"/>
        </w:rPr>
        <w:t>海默科技10.8%股份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股东协议转让过户完成的公告》，目标线索为公开资料未单独披露杨宝和先生受让的主观动机；披露的客观安排包括：2026年9月7日与新越征程签署《股份转让协议》，受让31,822,979股（5.80%）；同日范中华与杨宝和签署《一致行动协议》，约定在董事会、股东会决策事项表决前充分沟通协商、达成一致后表决并采取一致行动，以保证公司经营方针和决策、组织机构运行及业务运营的稳定性；杨宝和承诺自过户登记日起18。</w:t>
      </w:r>
    </w:p>
    <w:p>
      <w:pPr>
        <w:spacing w:before="0" w:after="0" w:line="240" w:lineRule="auto" w:beforeLines="0" w:afterLines="0"/>
        <w:jc w:val="left"/>
        <w:ind w:firstLineChars="200"/>
      </w:pPr>
      <w:r>
        <w:rPr>
          <w:rFonts w:ascii="Times New Roman" w:hAnsi="Times New Roman" w:eastAsia="仿宋" w:cs="Times New Roman"/>
          <w:b/>
          <w:sz w:val="28"/>
        </w:rPr>
        <w:t>一、合计10.80%的拆分：第一大股东减持、实际控制人增持与外部自然人进入</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新越征程合计转让59,260,979股（10.80%）；其中向杨宝和转让31,822,979股（5.80%），披露价款278,451,066元；向范中华转让27,438,000股（5.00%），披露价款240,082,500元；抽取文本显示</w:t>
      </w:r>
      <w:r>
        <w:rPr>
          <w:rFonts w:ascii="Times New Roman" w:hAnsi="Times New Roman" w:eastAsia="Times New Roman" w:cs="Times New Roman"/>
          <w:b w:val="0"/>
          <w:sz w:val="28"/>
        </w:rPr>
        <w:t>“</w:t>
      </w:r>
      <w:r>
        <w:rPr>
          <w:rFonts w:ascii="Times New Roman" w:hAnsi="Times New Roman" w:eastAsia="仿宋" w:cs="Times New Roman"/>
          <w:b w:val="0"/>
          <w:sz w:val="28"/>
        </w:rPr>
        <w:t>75元/股</w:t>
      </w:r>
      <w:r>
        <w:rPr>
          <w:rFonts w:ascii="Times New Roman" w:hAnsi="Times New Roman" w:eastAsia="Times New Roman" w:cs="Times New Roman"/>
          <w:b w:val="0"/>
          <w:sz w:val="28"/>
        </w:rPr>
        <w:t>”</w:t>
      </w:r>
      <w:r>
        <w:rPr>
          <w:rFonts w:ascii="Times New Roman" w:hAnsi="Times New Roman" w:eastAsia="仿宋" w:cs="Times New Roman"/>
          <w:b w:val="0"/>
          <w:sz w:val="28"/>
        </w:rPr>
        <w:t>，同时出现上述价款，价格口径需以公告原文核验；时间线。</w:t>
      </w:r>
    </w:p>
    <w:p>
      <w:pPr>
        <w:spacing w:before="0" w:after="0" w:line="240" w:lineRule="auto" w:beforeLines="0" w:afterLines="0"/>
        <w:jc w:val="both"/>
        <w:ind w:firstLineChars="200"/>
      </w:pPr>
      <w:r>
        <w:rPr>
          <w:rFonts w:ascii="Times New Roman" w:hAnsi="Times New Roman" w:eastAsia="仿宋" w:cs="Times New Roman"/>
          <w:b w:val="0"/>
          <w:sz w:val="28"/>
        </w:rPr>
        <w:t>交易前的控制权状态值得先厘清。新越征程是海默科技第一大股东，范中华先生是控股股东、实际控制人，两者并非同一主体。在这种结构下，第一大股东减持本身不必然动摇控制权，但会改变表决权的分布。新越征程过户前持有114,260,979股，公告抽取文本中其对应持股比例被截断为</w:t>
      </w:r>
      <w:r>
        <w:rPr>
          <w:rFonts w:ascii="Times New Roman" w:hAnsi="Times New Roman" w:eastAsia="Times New Roman" w:cs="Times New Roman"/>
          <w:b w:val="0"/>
          <w:sz w:val="28"/>
        </w:rPr>
        <w:t>“</w:t>
      </w:r>
      <w:r>
        <w:rPr>
          <w:rFonts w:ascii="Times New Roman" w:hAnsi="Times New Roman" w:eastAsia="仿宋" w:cs="Times New Roman"/>
          <w:b w:val="0"/>
          <w:sz w:val="28"/>
        </w:rPr>
        <w:t>20.</w:t>
      </w:r>
      <w:r>
        <w:rPr>
          <w:rFonts w:ascii="Times New Roman" w:hAnsi="Times New Roman" w:eastAsia="Times New Roman" w:cs="Times New Roman"/>
          <w:b w:val="0"/>
          <w:sz w:val="28"/>
        </w:rPr>
        <w:t>”</w:t>
      </w:r>
      <w:r>
        <w:rPr>
          <w:rFonts w:ascii="Times New Roman" w:hAnsi="Times New Roman" w:eastAsia="仿宋" w:cs="Times New Roman"/>
          <w:b w:val="0"/>
          <w:sz w:val="28"/>
        </w:rPr>
        <w:t>，需回公告原文核验；按本次59,260,979股对应10.80%反算，海默科技总股本约。</w:t>
      </w:r>
    </w:p>
    <w:p>
      <w:pPr>
        <w:spacing w:before="0" w:after="0" w:line="240" w:lineRule="auto" w:beforeLines="0" w:afterLines="0"/>
        <w:jc w:val="both"/>
        <w:ind w:firstLineChars="200"/>
      </w:pPr>
      <w:r>
        <w:rPr>
          <w:rFonts w:ascii="Times New Roman" w:hAnsi="Times New Roman" w:eastAsia="仿宋" w:cs="Times New Roman"/>
          <w:b w:val="0"/>
          <w:sz w:val="28"/>
        </w:rPr>
        <w:t>交易由转让方新越征程在股东层面发起，路径是协议转让，而非要约收购或向上市公司定向增发。公开资料未披露上市公司董事会或股东会决议作为本次交易的发起文件，也未披露双方谈判过程；可确认的发起节点是2026年9月7日同日签署《股份转让协议》与《一致行动协议》，股份转让与表决权安排同步设计，而非交割后再补。</w:t>
      </w:r>
    </w:p>
    <w:p>
      <w:pPr>
        <w:spacing w:before="0" w:after="0" w:line="240" w:lineRule="auto" w:beforeLines="0" w:afterLines="0"/>
        <w:jc w:val="both"/>
        <w:ind w:firstLineChars="200"/>
      </w:pPr>
      <w:r>
        <w:rPr>
          <w:rFonts w:ascii="Times New Roman" w:hAnsi="Times New Roman" w:eastAsia="仿宋" w:cs="Times New Roman"/>
          <w:b w:val="0"/>
          <w:sz w:val="28"/>
        </w:rPr>
        <w:t>拆分结构本身具有可读出的客观功能。若10.80%整体由单一外部受让方承接，新越征程按反算仍持有约10.02%，而外部方以10.80%成为持股更高的股东，控制权格局将出现新的不确定因素；拆成实际控制人受让5.00%加外部自然人受让5.80%，并配套一致行动协议，实际控制人一侧可影响的表决权反而上升，第一大股东的持股则被压缩到与外部受让方接近的水平。这一判断只描。</w:t>
      </w:r>
    </w:p>
    <w:p>
      <w:pPr>
        <w:spacing w:before="0" w:after="0" w:line="240" w:lineRule="auto" w:beforeLines="0" w:afterLines="0"/>
        <w:jc w:val="left"/>
        <w:ind w:firstLineChars="200"/>
      </w:pPr>
      <w:r>
        <w:rPr>
          <w:rFonts w:ascii="Times New Roman" w:hAnsi="Times New Roman" w:eastAsia="仿宋" w:cs="Times New Roman"/>
          <w:b/>
          <w:sz w:val="28"/>
        </w:rPr>
        <w:t>二、从签约到过户：合规确认与登记节点构成的交易确定性</w:t>
      </w:r>
    </w:p>
    <w:p>
      <w:pPr>
        <w:spacing w:before="0" w:after="0" w:line="240" w:lineRule="auto" w:beforeLines="0" w:afterLines="0"/>
        <w:jc w:val="both"/>
        <w:ind w:firstLineChars="200"/>
      </w:pPr>
      <w:r>
        <w:rPr>
          <w:rFonts w:ascii="Times New Roman" w:hAnsi="Times New Roman" w:eastAsia="仿宋" w:cs="Times New Roman"/>
          <w:b w:val="0"/>
          <w:sz w:val="28"/>
        </w:rPr>
        <w:t>时间链紧凑。2026年9月7日签署《股份转让协议》与《一致行动协议》；2026年10月15日协议转让股份完成过户登记，取得中国证券登记结算有限责任公司出具的《证券过户登记确认书》；2026年10月19日公司收到新越征程出具的《关于所持部分股票完成协议转让过户登记的通知》；2026年10月20日披露过户完成公告。公告同时载明，本次协议转让已获深圳证券交易所合规。</w:t>
      </w:r>
    </w:p>
    <w:p>
      <w:pPr>
        <w:spacing w:before="0" w:after="0" w:line="240" w:lineRule="auto" w:beforeLines="0" w:afterLines="0"/>
        <w:jc w:val="both"/>
        <w:ind w:firstLineChars="200"/>
      </w:pPr>
      <w:r>
        <w:rPr>
          <w:rFonts w:ascii="Times New Roman" w:hAnsi="Times New Roman" w:eastAsia="仿宋" w:cs="Times New Roman"/>
          <w:b w:val="0"/>
          <w:sz w:val="28"/>
        </w:rPr>
        <w:t>产业判断只能划到有限边界。公开资料未披露海默科技的主营业务构成、主要产品、客户结构、资产规模、产能与竞争格局，也未披露收入、净利润、负债与现金流。因此无法就产业协同、客户导入或技术互补作出判断；可验证的产业含义仅限于上市公司存量股权在股东之间的再分配，交易不涉及资产注入、业务重组或资产交割，产业协同在本案材料中不可验证。分类标签中的</w:t>
      </w:r>
      <w:r>
        <w:rPr>
          <w:rFonts w:ascii="Times New Roman" w:hAnsi="Times New Roman" w:eastAsia="Times New Roman" w:cs="Times New Roman"/>
          <w:b w:val="0"/>
          <w:sz w:val="28"/>
        </w:rPr>
        <w:t>“</w:t>
      </w:r>
      <w:r>
        <w:rPr>
          <w:rFonts w:ascii="Times New Roman" w:hAnsi="Times New Roman" w:eastAsia="仿宋" w:cs="Times New Roman"/>
          <w:b w:val="0"/>
          <w:sz w:val="28"/>
        </w:rPr>
        <w:t>上市公司+PE</w:t>
      </w:r>
      <w:r>
        <w:rPr>
          <w:rFonts w:ascii="Times New Roman" w:hAnsi="Times New Roman" w:eastAsia="Times New Roman" w:cs="Times New Roman"/>
          <w:b w:val="0"/>
          <w:sz w:val="28"/>
        </w:rPr>
        <w:t>”</w:t>
      </w:r>
      <w:r>
        <w:rPr>
          <w:rFonts w:ascii="Times New Roman" w:hAnsi="Times New Roman" w:eastAsia="仿宋" w:cs="Times New Roman"/>
          <w:b w:val="0"/>
          <w:sz w:val="28"/>
        </w:rPr>
        <w:t>同样不能。</w:t>
      </w:r>
    </w:p>
    <w:p>
      <w:pPr>
        <w:spacing w:before="0" w:after="0" w:line="240" w:lineRule="auto" w:beforeLines="0" w:afterLines="0"/>
        <w:jc w:val="left"/>
        <w:ind w:firstLineChars="200"/>
      </w:pPr>
      <w:r>
        <w:rPr>
          <w:rFonts w:ascii="Times New Roman" w:hAnsi="Times New Roman" w:eastAsia="仿宋" w:cs="Times New Roman"/>
          <w:b/>
          <w:sz w:val="28"/>
        </w:rPr>
        <w:t>三、价款、每股价格核验与18个月锁定</w:t>
      </w:r>
    </w:p>
    <w:p>
      <w:pPr>
        <w:spacing w:before="0" w:after="0" w:line="240" w:lineRule="auto" w:beforeLines="0" w:afterLines="0"/>
        <w:jc w:val="both"/>
        <w:ind w:firstLineChars="200"/>
      </w:pPr>
      <w:r>
        <w:rPr>
          <w:rFonts w:ascii="Times New Roman" w:hAnsi="Times New Roman" w:eastAsia="仿宋" w:cs="Times New Roman"/>
          <w:b w:val="0"/>
          <w:sz w:val="28"/>
        </w:rPr>
        <w:t>两笔价款分别为240,082,500元与278,451,066元，合计518,533,566元。按对应股数反算，240,082,500元除以27,438,000股约为75元/股，278,451,066元除以31,822,979股同样约为8.75元/股，两笔价格口径一致。抽取文本中出现</w:t>
      </w:r>
      <w:r>
        <w:rPr>
          <w:rFonts w:ascii="Times New Roman" w:hAnsi="Times New Roman" w:eastAsia="Times New Roman" w:cs="Times New Roman"/>
          <w:b w:val="0"/>
          <w:sz w:val="28"/>
        </w:rPr>
        <w:t>“</w:t>
      </w:r>
      <w:r>
        <w:rPr>
          <w:rFonts w:ascii="Times New Roman" w:hAnsi="Times New Roman" w:eastAsia="仿宋" w:cs="Times New Roman"/>
          <w:b w:val="0"/>
          <w:sz w:val="28"/>
        </w:rPr>
        <w:t>75元/股</w:t>
      </w:r>
      <w:r>
        <w:rPr>
          <w:rFonts w:ascii="Times New Roman" w:hAnsi="Times New Roman" w:eastAsia="Times New Roman" w:cs="Times New Roman"/>
          <w:b w:val="0"/>
          <w:sz w:val="28"/>
        </w:rPr>
        <w:t>”</w:t>
      </w:r>
      <w:r>
        <w:rPr>
          <w:rFonts w:ascii="Times New Roman" w:hAnsi="Times New Roman" w:eastAsia="仿宋" w:cs="Times New Roman"/>
          <w:b w:val="0"/>
          <w:sz w:val="28"/>
        </w:rPr>
        <w:t>的表述，与上述价款不一致，应回公告原文核验；核验前不宜把75元。</w:t>
      </w:r>
    </w:p>
    <w:p>
      <w:pPr>
        <w:spacing w:before="0" w:after="0" w:line="240" w:lineRule="auto" w:beforeLines="0" w:afterLines="0"/>
        <w:jc w:val="both"/>
        <w:ind w:firstLineChars="200"/>
      </w:pPr>
      <w:r>
        <w:rPr>
          <w:rFonts w:ascii="Times New Roman" w:hAnsi="Times New Roman" w:eastAsia="仿宋" w:cs="Times New Roman"/>
          <w:b w:val="0"/>
          <w:sz w:val="28"/>
        </w:rPr>
        <w:t>锁定承诺与价款同为交易条件。范中华先生、杨宝和先生承诺自本次协议转让的上市公司股份完成过户登记之日起18个月内，不以任何形式转让通过本次交易取得的上市公司股份。锁定覆盖两名受让方，起算点是过户日。其功能有二：一是把外部自然人的持股在18个月内固定在表决权结构内，与一致行动协议形成时间上的配合；二是限制受让方短期处置，降低过户后股东名册再次变动的可能。材料未披露是否附带业绩条件，也未披露质押或收益权安排，不能延伸为对赌或业绩承诺。</w:t>
      </w:r>
    </w:p>
    <w:p>
      <w:pPr>
        <w:spacing w:before="0" w:after="0" w:line="240" w:lineRule="auto" w:beforeLines="0" w:afterLines="0"/>
        <w:jc w:val="both"/>
        <w:ind w:firstLineChars="200"/>
      </w:pPr>
      <w:r>
        <w:rPr>
          <w:rFonts w:ascii="Times New Roman" w:hAnsi="Times New Roman" w:eastAsia="仿宋" w:cs="Times New Roman"/>
          <w:b w:val="0"/>
          <w:sz w:val="28"/>
        </w:rPr>
        <w:t>卖方接受安排的客观依据需与主观原因区分。公开资料未单独披露新越征程出售的主观原因。可确认的客观安排是：以协议转让方式一次性让出59,260,979股，经深交所合规确认并完成中登过户，转让后不再为第一大股东（按反算约10.02%），但公告称不导致控股股东、实际控制人变更。这一组合意味着交易的制度设计是在</w:t>
      </w:r>
      <w:r>
        <w:rPr>
          <w:rFonts w:ascii="Times New Roman" w:hAnsi="Times New Roman" w:eastAsia="Times New Roman" w:cs="Times New Roman"/>
          <w:b w:val="0"/>
          <w:sz w:val="28"/>
        </w:rPr>
        <w:t>“</w:t>
      </w:r>
      <w:r>
        <w:rPr>
          <w:rFonts w:ascii="Times New Roman" w:hAnsi="Times New Roman" w:eastAsia="仿宋" w:cs="Times New Roman"/>
          <w:b w:val="0"/>
          <w:sz w:val="28"/>
        </w:rPr>
        <w:t>第一大股东减持</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控制权稳定</w:t>
      </w:r>
      <w:r>
        <w:rPr>
          <w:rFonts w:ascii="Times New Roman" w:hAnsi="Times New Roman" w:eastAsia="Times New Roman" w:cs="Times New Roman"/>
          <w:b w:val="0"/>
          <w:sz w:val="28"/>
        </w:rPr>
        <w:t>”</w:t>
      </w:r>
      <w:r>
        <w:rPr>
          <w:rFonts w:ascii="Times New Roman" w:hAnsi="Times New Roman" w:eastAsia="仿宋" w:cs="Times New Roman"/>
          <w:b w:val="0"/>
          <w:sz w:val="28"/>
        </w:rPr>
        <w:t>之间取得平衡，而非控制权出让。</w:t>
      </w:r>
    </w:p>
    <w:p>
      <w:pPr>
        <w:spacing w:before="0" w:after="0" w:line="240" w:lineRule="auto" w:beforeLines="0" w:afterLines="0"/>
        <w:jc w:val="left"/>
        <w:ind w:firstLineChars="200"/>
      </w:pPr>
      <w:r>
        <w:rPr>
          <w:rFonts w:ascii="Times New Roman" w:hAnsi="Times New Roman" w:eastAsia="仿宋" w:cs="Times New Roman"/>
          <w:b/>
          <w:sz w:val="28"/>
        </w:rPr>
        <w:t>四、《一致行动协议》的作用范围与</w:t>
      </w:r>
      <w:r>
        <w:rPr>
          <w:rFonts w:ascii="Times New Roman" w:hAnsi="Times New Roman" w:eastAsia="Times New Roman" w:cs="Times New Roman"/>
          <w:b/>
          <w:sz w:val="28"/>
        </w:rPr>
        <w:t>“</w:t>
      </w:r>
      <w:r>
        <w:rPr>
          <w:rFonts w:ascii="Times New Roman" w:hAnsi="Times New Roman" w:eastAsia="仿宋" w:cs="Times New Roman"/>
          <w:b/>
          <w:sz w:val="28"/>
        </w:rPr>
        <w:t>控制权不变</w:t>
      </w:r>
      <w:r>
        <w:rPr>
          <w:rFonts w:ascii="Times New Roman" w:hAnsi="Times New Roman" w:eastAsia="Times New Roman" w:cs="Times New Roman"/>
          <w:b/>
          <w:sz w:val="28"/>
        </w:rPr>
        <w:t>”</w:t>
      </w:r>
      <w:r>
        <w:rPr>
          <w:rFonts w:ascii="Times New Roman" w:hAnsi="Times New Roman" w:eastAsia="仿宋" w:cs="Times New Roman"/>
          <w:b/>
          <w:sz w:val="28"/>
        </w:rPr>
        <w:t>的条款基础</w:t>
      </w:r>
    </w:p>
    <w:p>
      <w:pPr>
        <w:spacing w:before="0" w:after="0" w:line="240" w:lineRule="auto" w:beforeLines="0" w:afterLines="0"/>
        <w:jc w:val="both"/>
        <w:ind w:firstLineChars="200"/>
      </w:pPr>
      <w:r>
        <w:rPr>
          <w:rFonts w:ascii="Times New Roman" w:hAnsi="Times New Roman" w:eastAsia="仿宋" w:cs="Times New Roman"/>
          <w:b w:val="0"/>
          <w:sz w:val="28"/>
        </w:rPr>
        <w:t>按照公告表述，为保证公司经营方针和决策、组织机构运行及业务运营的稳定性，自协议签署日起，双方在作为公司股东期间，对根据法律法规、规范性文件及公司章程规定应由公司董事会、股东会决策的一切事项，在行使表决权前事先进行充分沟通和协商，达成一致意见后进行表决，对决议事项采取一致行动。范围覆盖董事会与股东会两个层面的一切决策事项，不限于特定议案；触发条件是</w:t>
      </w:r>
      <w:r>
        <w:rPr>
          <w:rFonts w:ascii="Times New Roman" w:hAnsi="Times New Roman" w:eastAsia="Times New Roman" w:cs="Times New Roman"/>
          <w:b w:val="0"/>
          <w:sz w:val="28"/>
        </w:rPr>
        <w:t>“</w:t>
      </w:r>
      <w:r>
        <w:rPr>
          <w:rFonts w:ascii="Times New Roman" w:hAnsi="Times New Roman" w:eastAsia="仿宋" w:cs="Times New Roman"/>
          <w:b w:val="0"/>
          <w:sz w:val="28"/>
        </w:rPr>
        <w:t>作为公司股东期间</w:t>
      </w:r>
      <w:r>
        <w:rPr>
          <w:rFonts w:ascii="Times New Roman" w:hAnsi="Times New Roman" w:eastAsia="Times New Roman" w:cs="Times New Roman"/>
          <w:b w:val="0"/>
          <w:sz w:val="28"/>
        </w:rPr>
        <w:t>”</w:t>
      </w:r>
      <w:r>
        <w:rPr>
          <w:rFonts w:ascii="Times New Roman" w:hAnsi="Times New Roman" w:eastAsia="仿宋" w:cs="Times New Roman"/>
          <w:b w:val="0"/>
          <w:sz w:val="28"/>
        </w:rPr>
        <w:t>，未披露固定期限。</w:t>
      </w:r>
    </w:p>
    <w:p>
      <w:pPr>
        <w:spacing w:before="0" w:after="0" w:line="240" w:lineRule="auto" w:beforeLines="0" w:afterLines="0"/>
        <w:jc w:val="both"/>
        <w:ind w:firstLineChars="200"/>
      </w:pPr>
      <w:r>
        <w:rPr>
          <w:rFonts w:ascii="Times New Roman" w:hAnsi="Times New Roman" w:eastAsia="仿宋" w:cs="Times New Roman"/>
          <w:b w:val="0"/>
          <w:sz w:val="28"/>
        </w:rPr>
        <w:t>若没有这份协议，杨宝和先生的5.80%只是一笔分散在自然人手中的持股，实际控制人可影响的表决权不会因本次转让而增加；有了这份协议，范中华先生直接增持的5.00%与杨宝和先生持有的5.80%被要求朝同一方向表决，控制权稳定性获得超出单一主体持股的支持。这正是</w:t>
      </w:r>
      <w:r>
        <w:rPr>
          <w:rFonts w:ascii="Times New Roman" w:hAnsi="Times New Roman" w:eastAsia="Times New Roman" w:cs="Times New Roman"/>
          <w:b w:val="0"/>
          <w:sz w:val="28"/>
        </w:rPr>
        <w:t>“</w:t>
      </w:r>
      <w:r>
        <w:rPr>
          <w:rFonts w:ascii="Times New Roman" w:hAnsi="Times New Roman" w:eastAsia="仿宋" w:cs="Times New Roman"/>
          <w:b w:val="0"/>
          <w:sz w:val="28"/>
        </w:rPr>
        <w:t>本次协议转让不导致控股股东、实际控制人变更</w:t>
      </w:r>
      <w:r>
        <w:rPr>
          <w:rFonts w:ascii="Times New Roman" w:hAnsi="Times New Roman" w:eastAsia="Times New Roman" w:cs="Times New Roman"/>
          <w:b w:val="0"/>
          <w:sz w:val="28"/>
        </w:rPr>
        <w:t>”</w:t>
      </w:r>
      <w:r>
        <w:rPr>
          <w:rFonts w:ascii="Times New Roman" w:hAnsi="Times New Roman" w:eastAsia="仿宋" w:cs="Times New Roman"/>
          <w:b w:val="0"/>
          <w:sz w:val="28"/>
        </w:rPr>
        <w:t>的条款基础：控制权变更的判断不看第一大股东是谁，而看实际控。</w:t>
      </w:r>
    </w:p>
    <w:p>
      <w:pPr>
        <w:spacing w:before="0" w:after="0" w:line="240" w:lineRule="auto" w:beforeLines="0" w:afterLines="0"/>
        <w:jc w:val="both"/>
        <w:ind w:firstLineChars="200"/>
      </w:pPr>
      <w:r>
        <w:rPr>
          <w:rFonts w:ascii="Times New Roman" w:hAnsi="Times New Roman" w:eastAsia="仿宋" w:cs="Times New Roman"/>
          <w:b w:val="0"/>
          <w:sz w:val="28"/>
        </w:rPr>
        <w:t>一致行动协议不改变任何一方的持股数量，只改变表决权的行使方式，因此它影响的是控制权认定口径与决策程序，而非股权比例本身。</w:t>
      </w:r>
      <w:r>
        <w:rPr>
          <w:rFonts w:ascii="Times New Roman" w:hAnsi="Times New Roman" w:eastAsia="Times New Roman" w:cs="Times New Roman"/>
          <w:b w:val="0"/>
          <w:sz w:val="28"/>
        </w:rPr>
        <w:t>“</w:t>
      </w:r>
      <w:r>
        <w:rPr>
          <w:rFonts w:ascii="Times New Roman" w:hAnsi="Times New Roman" w:eastAsia="仿宋" w:cs="Times New Roman"/>
          <w:b w:val="0"/>
          <w:sz w:val="28"/>
        </w:rPr>
        <w:t>控制权不变</w:t>
      </w:r>
      <w:r>
        <w:rPr>
          <w:rFonts w:ascii="Times New Roman" w:hAnsi="Times New Roman" w:eastAsia="Times New Roman" w:cs="Times New Roman"/>
          <w:b w:val="0"/>
          <w:sz w:val="28"/>
        </w:rPr>
        <w:t>”</w:t>
      </w:r>
      <w:r>
        <w:rPr>
          <w:rFonts w:ascii="Times New Roman" w:hAnsi="Times New Roman" w:eastAsia="仿宋" w:cs="Times New Roman"/>
          <w:b w:val="0"/>
          <w:sz w:val="28"/>
        </w:rPr>
        <w:t>不等于治理没有变化：董事会席位安排、协议期限、解除条件、意见不一致时的处理机制、争议解决方式均未在材料中披露，而这些恰是判断一致行动安排强弱的关键变量。在研究或投后管理中，应把</w:t>
      </w:r>
      <w:r>
        <w:rPr>
          <w:rFonts w:ascii="Times New Roman" w:hAnsi="Times New Roman" w:eastAsia="Times New Roman" w:cs="Times New Roman"/>
          <w:b w:val="0"/>
          <w:sz w:val="28"/>
        </w:rPr>
        <w:t>“</w:t>
      </w:r>
      <w:r>
        <w:rPr>
          <w:rFonts w:ascii="Times New Roman" w:hAnsi="Times New Roman" w:eastAsia="仿宋" w:cs="Times New Roman"/>
          <w:b w:val="0"/>
          <w:sz w:val="28"/>
        </w:rPr>
        <w:t>合计转让比例、单一受让方比例、一致行动合计表决权。</w:t>
      </w:r>
    </w:p>
    <w:p>
      <w:pPr>
        <w:spacing w:before="0" w:after="0" w:line="240" w:lineRule="auto" w:beforeLines="0" w:afterLines="0"/>
        <w:jc w:val="left"/>
        <w:ind w:firstLineChars="200"/>
      </w:pPr>
      <w:r>
        <w:rPr>
          <w:rFonts w:ascii="Times New Roman" w:hAnsi="Times New Roman" w:eastAsia="仿宋" w:cs="Times New Roman"/>
          <w:b/>
          <w:sz w:val="28"/>
        </w:rPr>
        <w:t>五、结语：协议转让与交割条件的核验方法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事实。新越征程以59,260,979股（10.80%）、合计518,533,566元的对价，将持股从114,260,979股降至55,000,000股；范中华先生受让27,438,000股（5.00%），杨宝和先生受让31,822,979股（5.80%），按价款反算每股约8.75元（抽取文本</w:t>
      </w:r>
      <w:r>
        <w:rPr>
          <w:rFonts w:ascii="Times New Roman" w:hAnsi="Times New Roman" w:eastAsia="Times New Roman" w:cs="Times New Roman"/>
          <w:b w:val="0"/>
          <w:sz w:val="28"/>
        </w:rPr>
        <w:t>“</w:t>
      </w:r>
      <w:r>
        <w:rPr>
          <w:rFonts w:ascii="Times New Roman" w:hAnsi="Times New Roman" w:eastAsia="仿宋" w:cs="Times New Roman"/>
          <w:b w:val="0"/>
          <w:sz w:val="28"/>
        </w:rPr>
        <w:t>75元/股</w:t>
      </w:r>
      <w:r>
        <w:rPr>
          <w:rFonts w:ascii="Times New Roman" w:hAnsi="Times New Roman" w:eastAsia="Times New Roman" w:cs="Times New Roman"/>
          <w:b w:val="0"/>
          <w:sz w:val="28"/>
        </w:rPr>
        <w:t>”</w:t>
      </w:r>
      <w:r>
        <w:rPr>
          <w:rFonts w:ascii="Times New Roman" w:hAnsi="Times New Roman" w:eastAsia="仿宋" w:cs="Times New Roman"/>
          <w:b w:val="0"/>
          <w:sz w:val="28"/>
        </w:rPr>
        <w:t>需核验）；两人自过户登记日起18个月内不转让，并以《一致行动协议》在董事会、股东会决策前协商一致后表决。杨宝和先生的5.80%因此具有双重属性：对个人而言是受让股份，对控制权结构而言是被一致行动条款接入实际控制人表决方向的增量表决权。</w:t>
      </w:r>
    </w:p>
    <w:p>
      <w:pPr>
        <w:spacing w:before="0" w:after="0" w:line="240" w:lineRule="auto" w:beforeLines="0" w:afterLines="0"/>
        <w:jc w:val="both"/>
        <w:ind w:firstLineChars="200"/>
      </w:pPr>
      <w:r>
        <w:rPr>
          <w:rFonts w:ascii="Times New Roman" w:hAnsi="Times New Roman" w:eastAsia="仿宋" w:cs="Times New Roman"/>
          <w:b w:val="0"/>
          <w:sz w:val="28"/>
        </w:rPr>
        <w:t>本案的方法论意义可归纳为四层。其一，比例口径：合计比例与个体比例必须分开记录，交易名称中的比例不等于单一主体的受让比例。其二，主体识别：受让方中既有在任实际控制人，也有外部自然人，合并叙述会掩盖交易的真实结构。其三，表决权建模：控制权认定应看表决权而非仅看持股，一致行动、表决权委托等安排需单独建模，并标注期限与解除条件。其四，披露边界：当财务数据与主观动机缺失时，应以股数、比例、价款、程序节点和治理条款为骨架，不用产业协同补写故事。可操作的条款结论是：设计协议转让时，比例分配与一致行动安排需同步考虑控制权认定口径；接受外部自然人进入股东名册时，18个月锁定与一致行动义务是两项可以量化的约束工具。本案金额有限，但把协议转让最容易被忽略的两点摆上台面：比例要拆开看，控制权要靠条款兑现。</w:t>
      </w:r>
    </w:p>
    <w:p>
      <w:pPr>
        <w:spacing w:before="0" w:after="0" w:line="240" w:lineRule="auto" w:beforeLines="0" w:afterLines="0"/>
        <w:jc w:val="both"/>
        <w:ind w:firstLineChars="200"/>
      </w:pPr>
      <w:r>
        <w:rPr>
          <w:rFonts w:ascii="Times New Roman" w:hAnsi="Times New Roman" w:eastAsia="仿宋" w:cs="Times New Roman"/>
          <w:b w:val="0"/>
          <w:sz w:val="28"/>
        </w:rPr>
        <w:t>回到杨宝和先生与海默科技10.8%股，本案的方法论意义不在于把交易结果写成通用并购总结，而在于把新越征程合计转让59,260,979股（10.80%）；其中向杨宝和转让31,822,979股（5.80%），披露价款278,451,066元；向范中华转让27,438,000股（5.00%），披露价款240,082,500元；抽取文本显示</w:t>
      </w:r>
      <w:r>
        <w:rPr>
          <w:rFonts w:ascii="Times New Roman" w:hAnsi="Times New Roman" w:eastAsia="Times New Roman" w:cs="Times New Roman"/>
          <w:b w:val="0"/>
          <w:sz w:val="28"/>
        </w:rPr>
        <w:t>“</w:t>
      </w:r>
      <w:r>
        <w:rPr>
          <w:rFonts w:ascii="Times New Roman" w:hAnsi="Times New Roman" w:eastAsia="仿宋" w:cs="Times New Roman"/>
          <w:b w:val="0"/>
          <w:sz w:val="28"/>
        </w:rPr>
        <w:t>75元/股</w:t>
      </w:r>
      <w:r>
        <w:rPr>
          <w:rFonts w:ascii="Times New Roman" w:hAnsi="Times New Roman" w:eastAsia="Times New Roman" w:cs="Times New Roman"/>
          <w:b w:val="0"/>
          <w:sz w:val="28"/>
        </w:rPr>
        <w:t>”</w:t>
      </w:r>
      <w:r>
        <w:rPr>
          <w:rFonts w:ascii="Times New Roman" w:hAnsi="Times New Roman" w:eastAsia="仿宋" w:cs="Times New Roman"/>
          <w:b w:val="0"/>
          <w:sz w:val="28"/>
        </w:rPr>
        <w:t>，同时出现上述价款，价格口径需以公告原文核验、合计转让：59,260,979股，占总股本10.80%；杨宝和受让：31,822,979股，占总股本5.80%；范中华受让：27,438,000股，占总股本5.00%；新越征程过户前持股：114,260,979股；占总股本比例在抽取文本中截断为</w:t>
      </w:r>
      <w:r>
        <w:rPr>
          <w:rFonts w:ascii="Times New Roman" w:hAnsi="Times New Roman" w:eastAsia="Times New Roman" w:cs="Times New Roman"/>
          <w:b w:val="0"/>
          <w:sz w:val="28"/>
        </w:rPr>
        <w:t>“</w:t>
      </w:r>
      <w:r>
        <w:rPr>
          <w:rFonts w:ascii="Times New Roman" w:hAnsi="Times New Roman" w:eastAsia="仿宋" w:cs="Times New Roman"/>
          <w:b w:val="0"/>
          <w:sz w:val="28"/>
        </w:rPr>
        <w:t>20.</w:t>
      </w:r>
      <w:r>
        <w:rPr>
          <w:rFonts w:ascii="Times New Roman" w:hAnsi="Times New Roman" w:eastAsia="Times New Roman" w:cs="Times New Roman"/>
          <w:b w:val="0"/>
          <w:sz w:val="28"/>
        </w:rPr>
        <w:t>”</w:t>
      </w:r>
      <w:r>
        <w:rPr>
          <w:rFonts w:ascii="Times New Roman" w:hAnsi="Times New Roman" w:eastAsia="仿宋" w:cs="Times New Roman"/>
          <w:b w:val="0"/>
          <w:sz w:val="28"/>
        </w:rPr>
        <w:t>、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杨宝和先生而言，关键是交割承接和整合节奏能否与已披露安排匹配；对海默科技10.8%股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