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 w:beforeLines="0" w:afterLines="0"/>
        <w:jc w:val="center"/>
        <w:ind/>
      </w:pPr>
      <w:r>
        <w:rPr>
          <w:rFonts w:ascii="Times New Roman" w:hAnsi="Times New Roman" w:eastAsia="黑体" w:cs="Times New Roman"/>
          <w:b w:val="0"/>
          <w:sz w:val="30"/>
        </w:rPr>
        <w:t>腾讯音乐并购喜马拉雅：现金入主长音频，双平台协同破局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对于上市公司决策者而言，当核心业务增速放缓、用户增长触顶时，并购是扩张边界的快车道，也是最危险的岔路口。腾讯音乐娱乐集团（下称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腾讯音乐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，NYSE：TME）（下称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腾讯音乐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，NYSE：TME）（下称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腾讯音乐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，NYSE：TME）（下称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腾讯音乐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，NYSE：TME）（下称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腾讯音乐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，NYSE：TME）以约186亿元人民币全现金收购上海喜马拉雅科技有限公司（下称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喜马拉雅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），正是这样一场旨在突破流量瓶颈、构建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音乐+长音频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双平台生态的战略交易。2025年6月首次公告，2026年5月完成交割，历时约一年。这笔交易的结构设计、估值折让与整合安排，为其他寻求通过并购实现平台升级的企业提供了可拆解的范本。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一、腾讯音乐的流量瓶颈与长音频战略卡位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市场公开信息，腾讯音乐是中国在线音乐市场的领先企业，旗下拥有多款音乐产品。据新京报援引的市场观点，收购前腾讯音乐已面临用户增长放缓压力，其在线音乐月活跃用户数增速下降，亟需寻找新的增长引擎。长音频赛道——包括播客、有声书、知识付费——恰好是腾讯音乐尚未深度覆盖且具备付费潜力的领域，据行业分析，该领域付费转化率较高，可有效提升用户黏性和使用时长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21财经报道，字节跳动等竞争对手也在猛攻音频领域，通过旗下产品快速布局，对腾讯音乐形成威脅。从产业判断看，腾讯音乐通过并购快速建立壁垒比自建更具时间优势。喜马拉雅作为国内最大的长音频平台之一，内容涵盖有声书、播客、知识付费等，拥有大量独家版权和创作者资源。据中国经济网报道，其曾四度冲击IPO未果，估值一度高达43亿美元（约合300亿元人民币）。这笔交易使腾讯音乐一举填补长音频内容空白，实现音乐与音频的交叉销售，提升用户时长和付费转化，同时在对抗字节系音频产品时获得内容护城河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二、186亿元现金交易的估值逻辑与结构设计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华尔街见闻报道，腾讯音乐拟以12.6亿美元（约合人民币186亿元）现金收购喜马拉雅100%股权。据财新报道，喜马拉雅估值曾达43亿美元，本次交易对价较历史高点折让约40%，反映了标的独立上市的流动性折价和财务不确定性。交易全部以现金支付，据东方财富等媒体报道，腾讯音乐截至公告前现金及现金等价物充裕，无需外部债务融资，避免了股权稀释和复杂的融资安排。全现金支付简化了监管审批流程，但会一次性减少腾讯音乐约186亿元的现金储备，对短期资产负债表构成压力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定价合理性看，据中国经济网报道，喜马拉雅四度IPO未果，说明其商业模型在公开市场未获认可，且一级市场融资环境收紧，卖方谈判地位较弱。交易历时一年完成，据封面新闻报道，腾讯回应称将一如既往地坚定维护市场公平竞争秩序，暗示监管对内容平台合并的关注。这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现金打折买入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的结构适合现金流稳健的买方，但要求收购后标的能迅速贡献正向现金流或协同效应。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三、财务影响的双重账本：短期稀释与长期协同潜力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完成后，喜马拉雅将纳入腾讯音乐合并报表。据媒体报道，腾讯音乐此前利润率稳定，现金充裕，但喜马拉雅长期处于亏损状态——根据其多次招股书披露及四度IPO折戟的事实推断，其盈利模型尚未跑通。收购后，喜马拉雅的亏损将拖累腾讯音乐短期合并净利润，但对用户规模有显著拉动作用。新京报援引分析称，腾讯音乐面临月活下降困局，喜马拉雅的数亿月活用户将直接提升整体用户基数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长期协同潜力体现在交叉销售和广告系统打通。从同类内容平台整合案例推断（如Spotify收购播客平台），通常需要2-3年才能实现付费转化改善。腾讯音乐可尝试将喜马拉雅付费内容捆绑至音乐会员，或利用喜马拉雅的音频广告库存与自身广告体系整合。据华尔街见闻报道，公告后腾讯音乐美股盘前涨8%，市场对交易短期给予正面反应，但后续整合成效才是估值提升的关键。财务影响的核心挑战在于，喜马拉雅何时能扭亏为盈，以及整合成本是否可控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四、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/>
          <w:sz w:val="28"/>
        </w:rPr>
        <w:t>承诺下的组织与文化承接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据经济参考报报道，喜马拉雅在交易谈判中承诺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：品牌独立、团队稳定、用户权益不变、创作者服务不变。这体现了腾讯音乐在整合初期采取温和策略，以降低核心创作者和用户流失风险。据澎湃新闻转引腾讯音乐公告，完成并购后明确要求不得排他、保障创作者权益及维护价格稳定，进一步强化了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承诺。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从交割承接看，组织整合的难点在于：腾讯音乐偏重音乐版权和运营，喜马拉雅偏重UGC社区和内容生态，两种文化融合需要时间。保持独立品牌和团队是降低摩擦的关键，但长期看，如何实现后台系统打通、销售团队协同、会员体系互通，仍是管理层需要解决的命题。据新京报报道，有分析指出用户规模跃升能否解困局取决于整合深度。据媒体报道，交易完成后喜马拉雅团队保持稳定，但需建立长期的激励与考核机制，以避免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两张皮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效应。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五、竞争格局重塑与并购方法论启示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交易后，中国在线音频市场从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音乐+长音频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双巨头并存变为腾讯音乐一家独大。据21财经报道，字节跳动仍在猛攻一切，包括音频领域，使竞争格局并未固化。腾讯音乐通过并购获得了规模优势，但整合同样面临内耗风险。从并购方法论看，这起案例属于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整合一级资产+资本化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分类：买方收购具备上市潜力的资产，整合后通过协同效应提升整体价值，而非短期内推动标的独立上市。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对产业集团负责人的启示：第一，并购前应验证标的的商业模型自造血能力——喜马拉雅四度IPO未果说明其独立生存能力存疑，买方需有能力改造其财务模型；第二，交易条款应锁定关键人才的留存机制——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承诺降低了短期动荡，但长期激励机制仍需设计；第三，交割后应建立强监控+弱控制的混合管理模式，在保持品牌独立的同时推动业务协同；第四，全现金收购尽管简洁，但需确保现金储备充足，并预估整合期间的资金消耗。同类并购中，可借鉴此案例的估值折让谈判策略和温和整合节奏，但需警惕标的持续亏损对母公司的拖累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围绕腾讯音乐完成收购喜马拉雅，公开资料能够直接复核的事实包括交易主体、进展状态和核心金额口径。收购方为腾讯音乐，标的方或被整合方为喜马拉雅；交易状态为已完成；交易金额或估值口径为186亿元人民币。这些信息决定了复盘边界：交易评价不从主观判断出发，而从公告、交割文件、财务数据和双方披露的安排展开。</w:t>
      </w:r>
    </w:p>
    <w:p>
      <w:pPr>
        <w:spacing w:before="0" w:after="0" w:line="240" w:lineRule="auto" w:beforeLines="0" w:afterLines="0"/>
        <w:jc w:val="left"/>
        <w:ind w:firstLineChars="200"/>
      </w:pPr>
      <w:r>
        <w:rPr>
          <w:rFonts w:ascii="Times New Roman" w:hAnsi="Times New Roman" w:eastAsia="仿宋" w:cs="Times New Roman"/>
          <w:b/>
          <w:sz w:val="28"/>
        </w:rPr>
        <w:t>六、结语：协同成效才是交易成败的试金石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腾讯音乐以186亿元现金全资收购喜马拉雅，本质上是一次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用现金换时间、用规模换壁垒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的战略投资。交易结构清晰——全现金、无股权稀释、估值较历史高点折让约40%，体现了买方在定价上的主动权；卖方通过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四不变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承诺保障了短期稳定，但其长音频龙头的独立发展预期已转为依附腾讯生态。真正考验管理层的不是交易本身，而是并购后能否在内容生产、用户场景、广告销售和会员体系上产生可量化的协同效应。</w:t>
      </w:r>
    </w:p>
    <w:p>
      <w:pPr>
        <w:spacing w:before="0" w:after="0" w:line="240" w:lineRule="auto" w:beforeLines="0" w:afterLines="0"/>
        <w:jc w:val="both"/>
        <w:ind w:firstLineChars="200"/>
      </w:pPr>
      <w:r>
        <w:rPr>
          <w:rFonts w:ascii="Times New Roman" w:hAnsi="Times New Roman" w:eastAsia="仿宋" w:cs="Times New Roman"/>
          <w:b w:val="0"/>
          <w:sz w:val="28"/>
        </w:rPr>
        <w:t>据媒体援引行业分析，喜马拉雅加入后，腾讯音乐需要解决其盈利问题，同时避免组织臃肿拖累效率。这起案例的核心启示在于：平台型并购的价值释放不取决于交易规模，而取决于整合执行——交割后应建立可量化的协同指标，如交叉订阅转化率、广告收入增速、用户留存率等，并定期评估。唯有如此，186亿元的交易才不是一次昂贵的</w:t>
      </w:r>
      <w:r>
        <w:rPr>
          <w:rFonts w:ascii="Times New Roman" w:hAnsi="Times New Roman" w:eastAsia="Times New Roman" w:cs="Times New Roman"/>
          <w:b w:val="0"/>
          <w:sz w:val="28"/>
        </w:rPr>
        <w:t>“</w:t>
      </w:r>
      <w:r>
        <w:rPr>
          <w:rFonts w:ascii="Times New Roman" w:hAnsi="Times New Roman" w:eastAsia="仿宋" w:cs="Times New Roman"/>
          <w:b w:val="0"/>
          <w:sz w:val="28"/>
        </w:rPr>
        <w:t>买买买</w:t>
      </w:r>
      <w:r>
        <w:rPr>
          <w:rFonts w:ascii="Times New Roman" w:hAnsi="Times New Roman" w:eastAsia="Times New Roman" w:cs="Times New Roman"/>
          <w:b w:val="0"/>
          <w:sz w:val="28"/>
        </w:rPr>
        <w:t>”</w:t>
      </w:r>
      <w:r>
        <w:rPr>
          <w:rFonts w:ascii="Times New Roman" w:hAnsi="Times New Roman" w:eastAsia="仿宋" w:cs="Times New Roman"/>
          <w:b w:val="0"/>
          <w:sz w:val="28"/>
        </w:rPr>
        <w:t>，而是新一轮增长曲线的起点。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 w:beforeLines="0" w:afterLines="0"/>
      <w:jc w:val="both"/>
      <w:ind w:firstLineChars="200"/>
    </w:pPr>
    <w:rPr>
      <w:rFonts w:ascii="Times New Roman" w:hAnsi="Times New Roman" w:eastAsia="仿宋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