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跨界收购小巨人：5.2亿元背后是战略升级还是财务冒险？——从盈新发展案例看上市公司整合一级资产的关键决策点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上市公司董事长和CEO而言，跨界收购“专精特新”小巨人企业是近年来的热门选项，但成功率并不高。盈新发展以5.2亿元收购一家国家级小巨人企业，交易背后卖方是否真实具备核心竞争力？估值是否隐含过高预期？投后如何承接并释放价值？本案例通过拆解交易结构、估值假设与整合路径，为企业家提供一套可复用的决策清单：并购前需验证标的技术壁垒的市场化程度，交易条款应锁定关键人才和业绩底线，交割后必须建立独立的运营监控体系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一、跨界并购必须回答“买什么能力”，而非“买什么公司”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盈新发展的主业与标的公司所在领域存在较大跨度，前者主要从事传统制造或服务，后者则聚焦于高端装备或新材料等专精特新赛道。这种跨界收购的核心矛盾在于：买方真正需要的是标的的技术能力、市场渠道，还是仅仅看重其成长概念？公告披露的交易对价5.2亿元，对应标的约100%股权，但未明确说明战略协同的具体路径。从过往案例看，上市公司若以“多元化”为由收购非相关资产，失败概率往往超过60%，根源在于无法将标的的核心能力嫁接到自身体系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因此，并购前必须验证两个假设。第一，标的的技术或产品是否具备跨行业应用潜力。例如，一家做精密传感器的公司，其技术能否应用于买方的主业场景，或者能否为买方打开新客户群。第二，买方的销售网络、品牌或资金是否真正能为标的赋能。如果仅将标的视作独立利润中心，则不如直接进行财务投资。盈新发展在尽调阶段应重点考察标的的现有客户结构、技术专利的市场转化率，以及研发团队的持续产出能力，而非仅关注营收与利润的短期增长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在实践中，小巨人企业往往在细分领域拥有较高市场份额，但市场天花板明显。若买方无法帮助其突破现有市场边界，则并购后的增长可能迅速放缓。以某可比案例为例，一家化工上市公司收购一家微型传感器小巨人，因双方客户完全不重叠，协同效应几乎为零，最终标的营收三年后反而下滑。因此，盈新发展需要绘制清晰的协同路线图，量化说明投后一年、三年可实现的交叉销售或技术复用收益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二、5.2亿元对价隐含的成长假设必须接受压力测试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对价5.2亿元，是盈新发展为标的公司未来盈利能力支付的总价。据公开信息，标的公司尚未披露完整的财务数据，但可比的小巨人企业通常营收在1亿至3亿元之间，净利润率在10%至20%之间。若假设标的净利润为3000万元，则此次收购对应的市盈率约为17.3倍，处于专精特新企业并购估值的合理区间中位数。然而，这一估值隐含的成长性假设需要仔细拆解：预计未来三年净利润年复合增长率需达到20%以上，才能支撑当前价格。如果增长低于预期，商誉减值风险将直接冲击上市公司利润表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因此，董事会应在决策前进行独立的压力测试。第一，分别测算乐观、中性、悲观三种情景下的标的预测净利润，并计算对应的内部收益率（IRR）。第二，评估业绩承诺的覆盖范围。如果卖方承诺三年累计净利润不低于1.2亿元，那么5.2亿元对价中仅有约23%由承诺保障，剩余77%为商誉溢价。一旦承诺期后业绩下滑，减值损失将高达数亿元。第三，分析标的营收依赖度：前五大客户占比是否超过50%？若是，则核心客户流失将导致预测彻底失效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此外，买方还应关注标的的研发资本化比例和应收账款周转率。小巨人企业常通过资本化研发支出美化利润，而应收账款高企可能意味着收入质量不佳。据行业经验，若研发资本化率超过30%，或应收账款周转天数大于90天，则财务质量可能低于同行。盈新发展在尽调中应委托独立审计师核查这些细节，并根据调整后的净利润重新计算估值。只有通过压力测试的对价，才值得提交股东大会审议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三、交易条款：业绩对赌、付款节奏与人才锁定缺一不可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为降低跨界收购的风险，交易结构的设计比价格本身更重要。5.2亿元的支付方式若全部为现金，卖方可能缺乏长期绑定动力；若全部为股份，则买方稀释过高。常见的优化方案是“现金+股份”组合，例如60%现金（约3.12亿元）加40%股份（按盈新发展股价折合），并将股份分期解锁，与业绩承诺挂钩。同时，设置四年业绩对赌期，每年考核净利润、经营性现金流和新客户拓展等指标，若某一指标未达承诺的80%，买方有权要求卖方以现金或股份补足差额，或降低未解锁股份的对价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人才锁定是跨界并购的关键条款。标的公司的创始人及核心技术团队通常是小巨人企业的灵魂。交易协议中应包含核心人员至少任职四年的服务期条款，并设定竞业禁止范围覆盖标的所在细分领域。此外，应设计合理的“earn-out”机制：若标的超额完成业绩，管理层可额外获得一定比例的现金奖励，以此激励其继续投入。例如，超额部分的20%作为奖金池，分配由买方与管理层共同决定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还需要考虑退出条款。如果标的在承诺期内连续两年未能达到承诺业绩的70%，买方应有权强制要求卖方按约定价格回购股份（回购价格可以按原始对价加计利息计算，或按公允价值协商）。这一条款能避免标的陷入深度亏损时买方无处脱手。盈新发展在公告中未披露具体对赌安排，但从保护股东利益角度，建议投资者关注后续披露的协议文本。此外，交易对价中若有部分以盈新发展股份支付，则应设定股份锁定期，至少与业绩承诺期一致，避免卖方过早套现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四、投后整合：接管不是终点，协同和管控体系才是价值释放的起点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众多跨界并购失败案例表明，交割后的整合难度往往超出预期。盈新发展作为跨界买方，对标的行业理解有限，若直接以原有管理模式套用，可能导致核心人才流失、客户关系恶化。最佳实践是：在交割后设立独立子公司，保留标的公司品牌和主要管理层，但由买方派驻财务负责人、战略发展负责人和IT系统接口人。创始人继续担任总经理并直接向董事会汇报，但需定期提交运营分析报告。同时，双方建立联合工作组，每季度召开战略回顾会议，推动协同项目落地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业务协同整合应分三步走。第一阶段（交割后90天），完成信息系统与财务报表的统一，识别标的现有的销售渠道和供应链伙伴，评估与买方资源共享的可能性。第二阶段（91天至180天），开展客户互访和产品联合开发试点，例如将标的的产品嵌入买方原有解决方案，或利用买方渠道实现交叉销售。第三阶段（181天至一年），根据试点效果决定是否扩大协同范围，并设定协同收入或成本节约的量化目标。例如，第一年内实现协同收入不低于5000万元，节约成本1000万元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文化融合同样不容忽视。小巨人企业通常具有工程师文化，决策高效但流程随意；而上市公司往往层级较多、合规要求严格。为避免冲突，管理层应明确投后管控的“红线”与“黄线”：红线包括财务造假、重大资产处置、关联交易等，需报董事会审批；黄线如人员编制调整、客户报价等，可由标的自主决定。同时，组织跨公司的技术和管理交流会，帮助双方团队建立信任。盈新发展可考虑建立“创新事业部”，将标的作为其新业务孵化平台，给予一定自主权，避免官僚化磨灭创业精神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五、决策框架：从尽调到交割后180天的行动清单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基于上述分析，为上市公司董事长和CEO提供一套可操作的决策框架。并购前100天尽调阶段，必须完成三件事：第一，聘请行业技术专家验证标的技术的独特性与可替代性，并走访至少五家客户和三家竞争对手，确认其市场地位的真实性；第二，由独立财务顾问出具估值分析报告，采用可比交易法和现金流折现法，并针对关键假设进行敏感性分析，例如假设营收增速下降5个百分点时，内部收益率是否仍高于资本成本；第三，就业绩承诺和人才锁定达成初步条款，并且所有关键人员均应接受背景调查，确保无潜在法律纠纷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结构设计阶段，董事会应在协议中明确以下各项：业绩承诺期限不低于四年，且承诺净利润占交易对价比例应超过25%；业绩未达标的补偿机制优先采用股份回购而非现金补足，以减少现金流出；核心人员的服务期和竞业限制条款应写入，并设定合理的违约金；付款节奏应分为签署款、交割款和业绩达标款，至少30%的对价需在承诺期结束后支付。此外，交易文件中应包含“重大不利变化”条款，若标的在交割前发生核心客户流失、专利无效或监管处罚等事件，买方有权终止交易或下调对价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割后180天内，应建立标准化整合流程。第1-30天，完成人力资源、财务、IT和法律合规的全面对接，并召开全员沟通会，宣布新组织架构和授权体系。第31-90天，完成新旧业务单元的协同规划，确定短期赢利点（如交叉销售或成本节约），并设立专项激励。第91-180天，实施协同计划，每月跟踪进度，若连续两个月未达标，则启动纠正措施，包括调整管理层或重新谈判合作方式。同时，董事会应设立并购后整合委员会，由上市公司CEO与标的创始人共同牵头，每季度向董事会汇报整合进展及风险点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最后，建议上市公司将所有并购经验形成制度化的《并购手册》，涵盖标的选择标准、尽调清单、交易谈判模板、整合流程和风险预警指标。例如，规定跨界并购标的上一年净利润不得低于5000万元，且核心技术专利数量不少于20项；交易对价中股份支付比例不低于30%；投后第一年协同收入占比须达到标的营收的10%以上。通过系统化流程，减少决策中的情绪因素，提高并购成功概率。对于盈新发展而言，5.2亿元收购小巨人的结果仍有待时间检验，但遵循上述框架的企业家更有机会在跨界整合中获取真正的价值，而非埋下商誉地雷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