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逆周期并购：通威“抄底”青海丽豪的产业整合逻辑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光伏行业进入深度调整期，硅料价格从2022年底的30万元/吨暴跌至2025年初的6万元/吨以下，全行业陷入亏损。对于上市公司董事长而言，此时究竟是收缩自保还是逆势扩张？通威股份以并购青海丽豪股权的案例给出了参考答案：在产业链价格低点，以低于重置成本的价格锁定优质产能，并通过上市公司平台整合后实现资本化退出。这一交易对CEO的借鉴价值在于——并购前必须验证标的资产的成本曲线是否足够陡峭，交易结构是否包含对价调整机制，投后能否实现运营协同。青海丽豪作为未上市的一级资产，拥有约5万吨高纯晶硅产能（一期已投产），通威此次收购后进一步巩固其全球硅料龙头地位。尽管具体交易对价未公开，但据行业分析，该收购对应吨产能估值远低于当前新建成本，体现了典型的“抄底”特征。本文从战略考量、交易设计、假设验证、投后整合及价值释放五个维度拆解该案例，为企业家提供可操作的决策框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一、并购前验证：标的资产的成本优势与协同效应评估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通威收购青海丽豪的核心逻辑在于获取低成本产能。据公开资料，青海丽豪位于青海省，拥有丰富的绿电资源和低廉的电价，其高纯晶硅生产成本较行业平均水平低约15%-20%。并购前，通威需要验证这一成本优势是否可持续：电价锁定协议的长度、电力消纳政策的变化、以及当地基础设施的配套能力。若电价优惠不能长期维持，标的资产的盈利基础将动摇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协同效应方面，通威已拥有包头、乐山、保山等多个基地，青海丽豪的区位可与现有基地形成互补，降低运输与客户响应成本。但并购前必须验证：青海基地与其他基地的产能调度是否高效，产品品质能否达到通威的内控标准（如N型硅料比例）。若品质不达标，协同将产生负效应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标的筛选上，通威未选择新建产能，而是直接收购现有资产，本质上是“用时间换空间”。新建硅料产能从开工到投产需18-24个月，且面临环评能耗指标限制；而青海丽豪已建成产能，通威可快速承接运营，省去爬坡期。对于并购方而言，验证标的资产的“即时可投产状态”极为关键，包括设备完好率、工人的熟练程度、以及安全环保合规记录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通威作为上市公司，并购一级资产还需考虑资本市场的反馈。若市场认为收购价格过高或协同效应存疑，可能导致股价承压。因此，并购前应通过非公开信息与主要股东沟通，或设计对冲机制（如业绩承诺未达标时补偿股份）。总的来说，在行业低谷期，并购方应优先选择那些“成本曲线最陡峭、资产质量最扎实”的标的，而非单纯追求规模扩张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二、交易结构设计：以股权对价锁定核心团队与风险共担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据媒体报道，通威收购青海丽豪股权采用了“现金部分换股”的结构。具体而言，通威支付一定比例现金购买老股，同时向青海丽豪原有股东（含管理层）发行通威股份的股票作为对价的一部分。这种结构的好处是：原股东（尤其是实际控制人团队）成为通威的股东，其利益与上市公司深度绑定，降低了并购后的管理摩擦。同时，避免了上市公司一次性支付大额现金造成的流动性压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条款中的对价调整机制值得关注。由于硅料价格波动剧烈，固定对价可能使买方在市场进一步下跌时承担过高风险。通威很可能设置了“盈利补偿”或“或有支付”条款，即如果青海丽豪未来三年的净利润低于约定目标，原股东需要向通威返还部分对价（以股份或现金形式）。这一设计确保了买方不会为未实现的预期支付溢价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另一个关键条款是“管理层留任与股权激励”。青海丽豪的核心技术团队和管理人员是产能稳定运营的保障。据报道，交易完成后，原管理团队将继续负责生产运营，并在通威体系内获得一定的股权激励。这避免了关键人才流失导致的产能瘫痪。对于并购方而言，应在交易协议中明确核心人员的服务期限、竞业禁止和绩效目标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融资与支付安排方面，通威股份作为千亿市值的龙头企业，有充足的银行授信和自有资金。但是，为了优化资本结构，通威可能引入了部分并购贷款，利用杠杆放大ROE。数据显示，通威股份2024年末资产负债率约50%，仍有加杠杆的空间。需要注意的是，并购贷款应以标的资产的现金流为还款来源，而非上市公司主体信用，以隔离风险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三、关键假设验证：产能利用率、成本曲线与现金流预测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任何一个并购案的财务模型都建立在若干关键假设上。对通威收购青海丽豪而言，最重要的假设是产能利用率。据行业数据，2024年国内硅料有效产能约200万吨，而全球需求折合硅料约130万吨，产能利用率仅为65%。青海丽豪作为新进入者，其产能利用率能否达到80%以上？通威必须验证该标的与下游长单客户的绑定情况，以及产品质量是否已通过头部组件厂的认证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成本曲线是第二个核心假设。硅料企业的成本差异主要来自电价、能耗和技术路线。青海丽豪依靠青海低电价，现金成本可控制在行业前20%。但是，随着其它企业也在向低电价地区转移，这一优势可能被削弱。通威应在尽调中模拟未来三年不同电价情景下的成本变化，尤其关注电力市场化交易的波动性。同时，应验证标的的折旧政策是否合理，避免因会计政策差异导致利润虚高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现金流预测则需考虑资本开支改造的持续性。青海丽豪的一期产能投资约30亿元（假设），二期可能是通威后续的资本支出。在模型中加入未来2年的技改投资和备用金，考察自由现金流是否为正。如果收购后需要大额追加投资，则交易对价需要折让。据公开资料，通威在收购后立即启动了“降本增效”工程，进一步压缩成本，这也在验证假设中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除财务假设外，还需验证环保与合规风险。硅料生产涉及高能耗和化工环节，青海丽豪的能耗指标是否满足国家“双碳”要求？是否已有环评批复和排污许可？一旦政策收紧，可能导致停产整顿。通威在并购前应取得政府的书面承诺，确保能评、环评的延续性。这些假设若未通过验证，任何交易对价都是危险的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四、投后整合核心：管理权过渡、组织架构与采购销售协同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交易的交割只是起点，真正的挑战在于投后整合。通威收购青海丽豪后，面临的第一个问题是管理权的过渡。据媒体报道，通威保留了原管理团队，但派驻了财务总监和运营副总。这种“派驻关键岗位+保留执行层”的模式，既保证了上市公司的控制权，又维持了原有团队的积极性。对于并购方而言，交割后应建立90天整合计划，包括文化融合、制度对齐和绩效监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组织架构层面，通威需要将青海丽豪纳入其已有的硅料事业部。难点在于：原有公司的管理风格偏私营企业，决策链条短；而通威作为上市公司，流程更为规范。两个体系的冲突可能造成效率损失。解决方案是设立过渡期双轨制，允许青海丽豪在审批权限上保持一定的灵活性，但同时逐步导入通威的ERP系统和财务管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采购与销售协同是价值创造的核心。通威拥有全球最大的硅料销售网络和长协客户群，青海丽豪的产品可以直接通过通威的渠道销售，省去重新开拓客户的成本。但是，对内定价需要公允，避免关联交易转移利润。通威可以设定内部转移价格=市场价格-销售折扣，确保双方利益平衡。采购端，通威集中采购能源和原材料（如硅粉），利用规模优势降低青海丽豪的采购成本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投后整合中容易被忽视的是“隐性知识”的保留。青海丽豪的工程师掌握了特定的工艺参数和操作诀窍，这些知识并未文档化。通威应通过知识管理项目，将核心操作流程标准化、系统化，防止人员流失带来生产波动。同时，建立定期技术交流机制，促进通威其他基地与青海丽豪之间的经验共享，提升整体运营效率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五、价值释放路径：从产能扩张到行业出清的资本化策略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通威收购青海丽豪的终极目的是将其纳入上市公司体系，并通过资本化实现价值释放。路径通常有两种：一是将青海丽豪作为通威股份的全资子公司，其盈利直接并入上市公司报表，推动股价上涨；二是未来将青海丽豪独立上市或注入其他平台。根据通威的公告，本次收购属于产业整合，大概率采用第一种路径，即通过上市公司吸收合并实现一体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行业处于出清阶段，通威通过并购整合一级资产，可以进一步集中市场份额。数据显示，硅料行业CR5从2022年的60%提升至2025年的75%左右，通威通过收购丽豪，市占率有望超过25%。在行业出清完成后，幸存者将享受溢价，通威的估值逻辑也将从周期股切换为成长+周期。这一价值释放需要时间，但并购提供了低成本介入的窗口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资本化视角，二级市场对并购事件通常有正面反应，尤其是当收购价格合理且业绩承诺明确时。通威股份在公告收购后，股价走势反映了市场对整合的信心。但CEO应意识到，并购后的持续业绩兑现才是估值提升的关键。通威需要定期披露青海丽豪的运营数据（如产量、成本、利润），打消市场对整合效果的疑虑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最后，该案例对上市公司的启示在于：在行业周期底部，利用上市平台融资优势整合一级资产，是穿越周期、抢占市场份额的有效手段。但成功前提是对标的的深刻理解、严谨的交易结构设计和高效的投后整合。通威的每一步操作——从验证成本曲线、设计股权绑定，到派驻管控、渠道协同——都值得其他企业借鉴。未来光伏行业并购潮仍将继续，只有那些做好了并购前、中、后全链条管理的公司，才能最终胜出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