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cs="Times New Roman"/>
          <w:b w:val="0"/>
          <w:sz w:val="30"/>
        </w:rPr>
        <w:t>黑石私有化希尔顿：从260亿美元杠杆收购到120亿美元盈利的底层逻辑</w:t>
      </w:r>
    </w:p>
    <w:p>
      <w:pPr>
        <w:spacing w:line="240" w:lineRule="auto"/>
        <w:ind w:firstLine="560"/>
        <w:jc w:val="both"/>
      </w:pPr>
      <w:r>
        <w:rPr>
          <w:rFonts w:ascii="Times New Roman" w:hAnsi="Times New Roman" w:eastAsia="仿宋" w:cs="Times New Roman"/>
          <w:b w:val="0"/>
          <w:sz w:val="28"/>
        </w:rPr>
        <w:t>对于上市公司董事长与产业集团负责人而言，黑石私有化希尔顿的案例揭示了一个核心命题：并购的真正价值不在于低价买入，而在于买入后能否通过管理赋能、运营优化和周期择时释放超额回报。2007年金融危机前夕，黑石以约260亿美元（含债务）私有化希尔顿，其中股权出资仅约60亿美元，杠杆倍数超过3倍。随后遭遇2008年全球金融危机，酒店业入住率暴跌，希尔顿一度面临债务违约。但黑石并未止损离场，而是通过债务重组、管理层更替、品牌整合和运营降本，使希尔顿在2013年重新上市，并在后续数年分批减持，累计实现约120亿美元利润。这一案例对企业家决策的启示在于：并购前必须验证“标的运营改善空间是否足够大”“行业周期位置是否提供安全边际”“杠杆结构是否留有缓冲余地”三个假设；交易条款要锁定债务可重组空间；投后整合的核心是快速建立一支能执行变革的管理团队。</w:t>
      </w:r>
    </w:p>
    <w:p>
      <w:pPr>
        <w:spacing w:before="160" w:after="80"/>
        <w:ind w:firstLine="200"/>
      </w:pPr>
      <w:r>
        <w:rPr>
          <w:rFonts w:ascii="Times New Roman" w:hAnsi="Times New Roman" w:eastAsia="仿宋" w:cs="Times New Roman"/>
          <w:b/>
          <w:sz w:val="28"/>
        </w:rPr>
        <w:t>一、2007年以260亿美元杠杆收购：赌注压在管理改善与行业周期反转</w:t>
      </w:r>
    </w:p>
    <w:p>
      <w:pPr>
        <w:spacing w:line="240" w:lineRule="auto"/>
        <w:ind w:firstLine="560"/>
        <w:jc w:val="both"/>
      </w:pPr>
      <w:r>
        <w:rPr>
          <w:rFonts w:ascii="Times New Roman" w:hAnsi="Times New Roman" w:eastAsia="仿宋" w:cs="Times New Roman"/>
          <w:b w:val="0"/>
          <w:sz w:val="28"/>
        </w:rPr>
        <w:t>2007年7月，黑石集团宣布以约260亿美元（含债务）私有化希尔顿酒店集团，对应每股47.50美元，较当时股价溢价约40%。交易总价中，黑石仅以旗下私募股权基金出资约60亿美元作为股权基础，其余约200亿美元通过债务融资解决，杠杆比例超过3倍。标的资产彼时拥有约2800家酒店、超过48万间客房，是全球最大的酒店运营商之一。希尔顿在2006年的营收约82亿美元，净利润约5.7亿美元，但运营利润率低于行业竞争对手，存在显著改善空间。黑石的判断逻辑是：通过更换管理层、优化供应链、提升特许经营占比和强化品牌管理，可以将希尔顿的EBITDA利润率从约18%提升至25%以上；同时，2007年全球旅游行业处于上升周期，酒店资产估值仍有增长潜力。</w:t>
      </w:r>
    </w:p>
    <w:p>
      <w:pPr>
        <w:spacing w:line="240" w:lineRule="auto"/>
        <w:ind w:firstLine="560"/>
        <w:jc w:val="both"/>
      </w:pPr>
      <w:r>
        <w:rPr>
          <w:rFonts w:ascii="Times New Roman" w:hAnsi="Times New Roman" w:eastAsia="仿宋" w:cs="Times New Roman"/>
          <w:b w:val="0"/>
          <w:sz w:val="28"/>
        </w:rPr>
        <w:t>然而，这个收购时点恰逢市场顶部。2008年金融危机爆发后，全球商务和休闲旅行需求急剧萎缩，希尔顿的入住率从2007年的约72%下滑至2009年的约60%，营收下降超过20%。由于高杠杆结构，希尔顿面临沉重的债务利息负担，2009年EBITDA仅约10亿美元，而年度利息支出超过15亿美元，现金流极度紧张。标普和穆迪将希尔顿的信用评级下调至垃圾级，市场普遍预期黑石可能面临投资亏损甚至破产重组。这一阶段是检验并购假设的关键期：黑石并未出售资产减仓，而是选择与债权人谈判追加投资。</w:t>
      </w:r>
    </w:p>
    <w:p>
      <w:pPr>
        <w:spacing w:line="240" w:lineRule="auto"/>
        <w:ind w:firstLine="560"/>
        <w:jc w:val="both"/>
      </w:pPr>
      <w:r>
        <w:rPr>
          <w:rFonts w:ascii="Times New Roman" w:hAnsi="Times New Roman" w:eastAsia="仿宋" w:cs="Times New Roman"/>
          <w:b w:val="0"/>
          <w:sz w:val="28"/>
        </w:rPr>
        <w:t>据公开资料，黑石在2009年至2010年间通过一系列债务回购和交换要约，将希尔顿的债务本金从约200亿美元削减至约160亿美元，并降低了利息率。同时，黑石向希尔顿注入了约8亿美元的额外股权资金，用于维持运营和资本开支。这一举措本质上是“以时间换空间”：用新的资本注入换取债务展期，避免希尔顿陷入破产清算。黑石之所以愿意追加投资，是因为其内部模型显示，只要经济复苏后酒店RevPAR（每间可用房收入）恢复到2007年水平的90%，希尔顿的现金流即可覆盖调整后的债务。这个假设成为后续操作的核心依据。</w:t>
      </w:r>
    </w:p>
    <w:p>
      <w:pPr>
        <w:spacing w:before="160" w:after="80"/>
        <w:ind w:firstLine="200"/>
      </w:pPr>
      <w:r>
        <w:rPr>
          <w:rFonts w:ascii="Times New Roman" w:hAnsi="Times New Roman" w:eastAsia="仿宋" w:cs="Times New Roman"/>
          <w:b/>
          <w:sz w:val="28"/>
        </w:rPr>
        <w:t>二、交易结构设计：私募基金如何用有限资金撬动百亿级并购</w:t>
      </w:r>
    </w:p>
    <w:p>
      <w:pPr>
        <w:spacing w:line="240" w:lineRule="auto"/>
        <w:ind w:firstLine="560"/>
        <w:jc w:val="both"/>
      </w:pPr>
      <w:r>
        <w:rPr>
          <w:rFonts w:ascii="Times New Roman" w:hAnsi="Times New Roman" w:eastAsia="仿宋" w:cs="Times New Roman"/>
          <w:b w:val="0"/>
          <w:sz w:val="28"/>
        </w:rPr>
        <w:t>黑石收购希尔顿的交易结构充分体现了杠杆收购的典型特征：以小比例股权撬动大比例债务，利用标的自身现金流偿债，并通过管理优化提升资产价值。股权出资60亿美元来自黑石旗下的旗舰收购基金，该基金总规模约200亿美元，希尔顿交易占基金资产的约30%。债务融资部分包括约150亿美元的优先级银行定期贷款、约50亿美元的高收益债券以及约20亿美元的过桥贷款。债务结构中，超过70%为浮动利率贷款，这使得希尔顿在利率上升时风险暴露极大，但2007年利率环境相对温和。值得注意的是，黑石在债务契约中设置了较宽松的财务约束：允许希尔顿在EBITDA下降时仍能维持一定程度的资本支出；这为后续危机中的债务谈判预留了空间。</w:t>
      </w:r>
    </w:p>
    <w:p>
      <w:pPr>
        <w:spacing w:line="240" w:lineRule="auto"/>
        <w:ind w:firstLine="560"/>
        <w:jc w:val="both"/>
      </w:pPr>
      <w:r>
        <w:rPr>
          <w:rFonts w:ascii="Times New Roman" w:hAnsi="Times New Roman" w:eastAsia="仿宋" w:cs="Times New Roman"/>
          <w:b w:val="0"/>
          <w:sz w:val="28"/>
        </w:rPr>
        <w:t>交易的另一关键设计是“管理层激励计划”。黑石在私有化后立即将希尔顿CEO更换为有多年酒店运营经验的克里斯托弗·纳塞塔（Christopher Nassetta），并授予其基于EBITDA增长和资产价值提升的股权激励。纳塞塔此前担任Host Hotels &amp; Resorts的CEO，拥有丰富的资产管理和成本控制经验。同时，黑石保留了希尔顿原有的中层管理团队，但引入外部专家负责采购、财务和特许经营业务。这一安排确保了战略决策的快速执行，同时维持了运营稳定性。</w:t>
      </w:r>
    </w:p>
    <w:p>
      <w:pPr>
        <w:spacing w:line="240" w:lineRule="auto"/>
        <w:ind w:firstLine="560"/>
        <w:jc w:val="both"/>
      </w:pPr>
      <w:r>
        <w:rPr>
          <w:rFonts w:ascii="Times New Roman" w:hAnsi="Times New Roman" w:eastAsia="仿宋" w:cs="Times New Roman"/>
          <w:b w:val="0"/>
          <w:sz w:val="28"/>
        </w:rPr>
        <w:t>据黑石内部人士透露，交易结构中还包含一个“反向分手费”条款：如果因监管或融资原因交易未能完成，黑石需向希尔顿股东支付约5亿美元补偿。这个条款虽然增加了黑石的风险，但向市场传递了其完成交易的信心，促使希尔顿董事会接受了收购要约。最终，交易于2007年10月完成，距离宣布仅3个月，显示了黑石在融资和执行上的效率。然而，正是这种高效率下的高杠杆，使希尔顿在金融危机中极度脆弱。这给后续整合者一个教训：杠杆收购的安全边际必须足够厚，否则宏观波动即可击穿所有假设。</w:t>
      </w:r>
    </w:p>
    <w:p>
      <w:pPr>
        <w:spacing w:before="160" w:after="80"/>
        <w:ind w:firstLine="200"/>
      </w:pPr>
      <w:r>
        <w:rPr>
          <w:rFonts w:ascii="Times New Roman" w:hAnsi="Times New Roman" w:eastAsia="仿宋" w:cs="Times New Roman"/>
          <w:b/>
          <w:sz w:val="28"/>
        </w:rPr>
        <w:t>三、投后整合核心：更换管理层、优化运营、重塑品牌与成本管控</w:t>
      </w:r>
    </w:p>
    <w:p>
      <w:pPr>
        <w:spacing w:line="240" w:lineRule="auto"/>
        <w:ind w:firstLine="560"/>
        <w:jc w:val="both"/>
      </w:pPr>
      <w:r>
        <w:rPr>
          <w:rFonts w:ascii="Times New Roman" w:hAnsi="Times New Roman" w:eastAsia="仿宋" w:cs="Times New Roman"/>
          <w:b w:val="0"/>
          <w:sz w:val="28"/>
        </w:rPr>
        <w:t>黑石在收购完成后立即启动了全面的运营变革。核心动作之一是更换CEO。克里斯托弗·纳塞塔上任后，提出了“从资产持有者向品牌管理公司转型”的战略：希尔顿应减少自有酒店资产比例，增加特许经营和管理合同占比。2007年时，希尔顿约40%的酒店为自有或租赁，60%为特许经营；到2013年上市前，自有比例降至约20%，特许经营占比升至80%。这一转变大幅降低了资本开支和运营风险，同时通过品牌授权费和管理费提高了利润的稳定性。纳塞塔还推动了“希尔顿荣誉客会”忠诚度计划的数字化升级，使会员数量从约1000万增长至2013年的超过3000万，直接拉动了用户粘性和预订量。</w:t>
      </w:r>
    </w:p>
    <w:p>
      <w:pPr>
        <w:spacing w:line="240" w:lineRule="auto"/>
        <w:ind w:firstLine="560"/>
        <w:jc w:val="both"/>
      </w:pPr>
      <w:r>
        <w:rPr>
          <w:rFonts w:ascii="Times New Roman" w:hAnsi="Times New Roman" w:eastAsia="仿宋" w:cs="Times New Roman"/>
          <w:b w:val="0"/>
          <w:sz w:val="28"/>
        </w:rPr>
        <w:t>成本管控方面，黑石和纳塞塔推出了“中心化采购”和“标准化运营”措施。希尔顿旗下的10个品牌（如希尔顿、华尔道夫、康莱德等）过去采购各自为政，黑石将其整合为统一的采购平台，仅此一项每年节省约2亿美元成本。此外，希尔顿将区域总部的冗员削减约15%，并关闭了部分亏损的直营餐厅和SPA业务。据公告披露，2010年至2012年间，希尔顿的运营成本占营收比例从约72%降至约65%，EBITDA利润率从约18%回升至约25%，超过了2007年水平的峰值。</w:t>
      </w:r>
    </w:p>
    <w:p>
      <w:pPr>
        <w:spacing w:line="240" w:lineRule="auto"/>
        <w:ind w:firstLine="560"/>
        <w:jc w:val="both"/>
      </w:pPr>
      <w:r>
        <w:rPr>
          <w:rFonts w:ascii="Times New Roman" w:hAnsi="Times New Roman" w:eastAsia="仿宋" w:cs="Times New Roman"/>
          <w:b w:val="0"/>
          <w:sz w:val="28"/>
        </w:rPr>
        <w:t>在债务管理方面，黑石利用希尔顿改善的现金流在2010年至2012年期间提前偿还了约30亿美元的高成本债务，并发行了新的低息债券进行再融资。此举使年均利息支出从约15亿美元降至约9亿美元。同时，黑石还通过资产出售（如出售纽约华尔道夫酒店的部分权益）回收了约10亿美元现金，用于进一步降杠杆。到2013年IPO前，希尔顿的净债务从约200亿美元降至约150亿美元，杠杆倍数为EBITDA的约4倍，处于行业健康水平。这些整合措施的共同结果是希尔顿在行业复苏时具备了更强的盈利弹性。</w:t>
      </w:r>
    </w:p>
    <w:p>
      <w:pPr>
        <w:spacing w:before="160" w:after="80"/>
        <w:ind w:firstLine="200"/>
      </w:pPr>
      <w:r>
        <w:rPr>
          <w:rFonts w:ascii="Times New Roman" w:hAnsi="Times New Roman" w:eastAsia="仿宋" w:cs="Times New Roman"/>
          <w:b/>
          <w:sz w:val="28"/>
        </w:rPr>
        <w:t>四、上市退出：在行业回暖时精准IPO，实现超120亿美元回报</w:t>
      </w:r>
    </w:p>
    <w:p>
      <w:pPr>
        <w:spacing w:line="240" w:lineRule="auto"/>
        <w:ind w:firstLine="560"/>
        <w:jc w:val="both"/>
      </w:pPr>
      <w:r>
        <w:rPr>
          <w:rFonts w:ascii="Times New Roman" w:hAnsi="Times New Roman" w:eastAsia="仿宋" w:cs="Times New Roman"/>
          <w:b w:val="0"/>
          <w:sz w:val="28"/>
        </w:rPr>
        <w:t>2013年12月，希尔顿在纽约证券交易所重新上市，股票代码HLT。IPO发行价为每股20美元，募集资金约23亿美元，对应估值约200亿美元。相比黑石2007年的收购价260亿美元，IPO估值看似“缩水”，但考虑到债务的减少和股权的稀释，计算回报需考虑杠杆效应：黑石在私有化时的60亿美元股权出资，加上后续追加的8亿美元，合计股权成本约68亿美元。IPO后，黑石持有希尔顿约76%的股份（包括IPO时出售的部分老股），按发行价计算价值约152亿美元，已实现翻倍以上回报。更重要的是，黑石在IPO后继续分批减持，至2018年全部退出，累计套现约190亿美元，总利润约122亿美元，内部收益率（IRR）超过20%。</w:t>
      </w:r>
    </w:p>
    <w:p>
      <w:pPr>
        <w:spacing w:line="240" w:lineRule="auto"/>
        <w:ind w:firstLine="560"/>
        <w:jc w:val="both"/>
      </w:pPr>
      <w:r>
        <w:rPr>
          <w:rFonts w:ascii="Times New Roman" w:hAnsi="Times New Roman" w:eastAsia="仿宋" w:cs="Times New Roman"/>
          <w:b w:val="0"/>
          <w:sz w:val="28"/>
        </w:rPr>
        <w:t>这个退出时机选择值得注意：2013年正值全球旅游和酒店行业强劲复苏，美国GDP增速回升至2.3%，酒店入住率恢复至约65%，RevPAR同比增长约5%。黑石在IPO招股书中强调，希尔顿的全球预订系统、品牌矩阵和成本优势将使其在行业上升期中获得超额增长。此外，黑石在IPO中保留了较大比例股权，这向市场传递了长期信心，有助于稳定股价。实际上，希尔顿股价在上市后一年内上涨约30%，黑石随后才逐步减持，实现了更高收益。</w:t>
      </w:r>
    </w:p>
    <w:p>
      <w:pPr>
        <w:spacing w:line="240" w:lineRule="auto"/>
        <w:ind w:firstLine="560"/>
        <w:jc w:val="both"/>
      </w:pPr>
      <w:r>
        <w:rPr>
          <w:rFonts w:ascii="Times New Roman" w:hAnsi="Times New Roman" w:eastAsia="仿宋" w:cs="Times New Roman"/>
          <w:b w:val="0"/>
          <w:sz w:val="28"/>
        </w:rPr>
        <w:t>黑石退出的另一关键工具是“股息资本重组”。在2012年至2013年预IPO阶段，希尔顿以较低利率发行了约40亿美元新债，向股东（即黑石）支付了约35亿美元特别股息。这笔股息直接返还了黑石大部分股权本金，使其在IPO前的风险敞口大幅下降。这种“先分红、后上市”的结构在私募并购中常见，但需要标的具备稳定的现金流和债务容量。对于产业集团而言，这一做法的启示是：在出售资产前，可以通过债务融资提前回收部分投资，降低后续退出压力。</w:t>
      </w:r>
    </w:p>
    <w:p>
      <w:pPr>
        <w:spacing w:before="160" w:after="80"/>
        <w:ind w:firstLine="200"/>
      </w:pPr>
      <w:r>
        <w:rPr>
          <w:rFonts w:ascii="Times New Roman" w:hAnsi="Times New Roman" w:eastAsia="仿宋" w:cs="Times New Roman"/>
          <w:b/>
          <w:sz w:val="28"/>
        </w:rPr>
        <w:t>五、对产业集团负责人的启示：并购前必须验证的三个假设</w:t>
      </w:r>
    </w:p>
    <w:p>
      <w:pPr>
        <w:spacing w:line="240" w:lineRule="auto"/>
        <w:ind w:firstLine="560"/>
        <w:jc w:val="both"/>
      </w:pPr>
      <w:r>
        <w:rPr>
          <w:rFonts w:ascii="Times New Roman" w:hAnsi="Times New Roman" w:eastAsia="仿宋" w:cs="Times New Roman"/>
          <w:b/>
          <w:sz w:val="28"/>
        </w:rPr>
        <w:t>第一个假设：标的运营改善空间必须足够大且可执行。</w:t>
      </w:r>
      <w:r>
        <w:rPr>
          <w:rFonts w:ascii="Times New Roman" w:hAnsi="Times New Roman" w:eastAsia="仿宋" w:cs="Times New Roman"/>
          <w:b w:val="0"/>
          <w:sz w:val="28"/>
        </w:rPr>
        <w:t>黑石在收购前详细分析了希尔顿的利润率与同行（万豪、洲际）的差距，并制定了具体的提升计划——包括从重资产转向轻资产、集中采购、数字营销等。这些改善措施在两年内就见效，为后续应对危机奠定了现金流基础。产业集团在并购前应要求尽调团队量化“运营改善潜力”，并验证其可行性，而非仅仅依赖行业增长假设。</w:t>
      </w:r>
    </w:p>
    <w:p>
      <w:pPr>
        <w:spacing w:line="240" w:lineRule="auto"/>
        <w:ind w:firstLine="560"/>
        <w:jc w:val="both"/>
      </w:pPr>
      <w:r>
        <w:rPr>
          <w:rFonts w:ascii="Times New Roman" w:hAnsi="Times New Roman" w:eastAsia="仿宋" w:cs="Times New Roman"/>
          <w:b/>
          <w:sz w:val="28"/>
        </w:rPr>
        <w:t>第二个假设：杠杆结构必须留足安全边际。</w:t>
      </w:r>
      <w:r>
        <w:rPr>
          <w:rFonts w:ascii="Times New Roman" w:hAnsi="Times New Roman" w:eastAsia="仿宋" w:cs="Times New Roman"/>
          <w:b w:val="0"/>
          <w:sz w:val="28"/>
        </w:rPr>
        <w:t>黑石在2007年使用的3倍以上杠杆在金融危机中几乎压垮交易，若非后续债务减免和追加投资，很可能失败。产业集团在并购融资时，应模拟极端压力场景（如营收下降30%、利率上升200个基点），确保债务覆盖率不低于1.5倍。同时，应在贷款合同中争取弹性条款，如允许债务回购、利息资本化或延期支付，以便危机时调整。</w:t>
      </w:r>
    </w:p>
    <w:p>
      <w:pPr>
        <w:spacing w:line="240" w:lineRule="auto"/>
        <w:ind w:firstLine="560"/>
        <w:jc w:val="both"/>
      </w:pPr>
      <w:r>
        <w:rPr>
          <w:rFonts w:ascii="Times New Roman" w:hAnsi="Times New Roman" w:eastAsia="仿宋" w:cs="Times New Roman"/>
          <w:b/>
          <w:sz w:val="28"/>
        </w:rPr>
        <w:t>第三个假设：管理层必须具备变革执行力。</w:t>
      </w:r>
      <w:r>
        <w:rPr>
          <w:rFonts w:ascii="Times New Roman" w:hAnsi="Times New Roman" w:eastAsia="仿宋" w:cs="Times New Roman"/>
          <w:b w:val="0"/>
          <w:sz w:val="28"/>
        </w:rPr>
        <w:t>黑石更换CEO并赋予充分授权，这一决策在整合中起决定性作用。产业集团在并购后应尽快评估现有管理层的能力和意愿，若现有团队缺乏转型经验，需要在交割前锁定关键人才的雇佣协议或制定替换方案。此外，投后整合应设定明确的里程碑（如6个月内完成采购整合、12个月内实现系统统一），并定期跟踪考核。希尔顿案例的最终胜利，是战略、财务和人力三方面假设共同成立的结果。</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560"/>
      <w:jc w:val="both"/>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