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rFonts w:ascii="Times New Roman" w:hAnsi="Times New Roman" w:eastAsia="黑体" w:cs="Times New Roman"/>
          <w:b w:val="0"/>
          <w:sz w:val="30"/>
        </w:rPr>
        <w:t>635亿产业整合的逻辑：宏桥控股收购宏拓实业如何实现“买入-整合-资本化”全链条</w:t>
      </w:r>
    </w:p>
    <w:p>
      <w:pPr>
        <w:spacing w:line="240" w:lineRule="auto"/>
        <w:ind w:firstLine="560"/>
        <w:jc w:val="both"/>
      </w:pPr>
      <w:r>
        <w:rPr>
          <w:rFonts w:ascii="Times New Roman" w:hAnsi="Times New Roman" w:eastAsia="仿宋" w:cs="Times New Roman"/>
          <w:b w:val="0"/>
          <w:sz w:val="28"/>
        </w:rPr>
        <w:t>对于上市公司董事长和CEO而言，大型产业并购的核心不是交易本身，而是交易前对标的资产系统工程能力的判断、交易结构中资金与风险隔离的设计、以及投后如何将碎片化产能转化为可资本化的平台。宏桥控股以635亿元收购宏拓实业，展现了在“并购六条”政策背景下，龙头企业整合一级资产并推动资本化的典型路径。这一案例的借鉴价值在于：并购前必须验证标的在产业链中的不可替代性，确认其并非单纯的产能堆砌；交易结构需设计多重风险缓冲机制，避免高杠杆侵蚀母公司现金流；交割后整合必须设定刚性目标，否则资本化退出将遥不可及。</w:t>
      </w:r>
    </w:p>
    <w:p>
      <w:pPr>
        <w:spacing w:before="160" w:after="80"/>
        <w:ind w:firstLine="200"/>
      </w:pPr>
      <w:r>
        <w:rPr>
          <w:rFonts w:ascii="Times New Roman" w:hAnsi="Times New Roman" w:eastAsia="仿宋" w:cs="Times New Roman"/>
          <w:b/>
          <w:sz w:val="28"/>
        </w:rPr>
        <w:t>一、买入的不是铝产能，而是铝产业链的系统工程能力</w:t>
      </w:r>
    </w:p>
    <w:p>
      <w:pPr>
        <w:spacing w:line="240" w:lineRule="auto"/>
        <w:ind w:firstLine="560"/>
        <w:jc w:val="both"/>
      </w:pPr>
      <w:r>
        <w:rPr>
          <w:rFonts w:ascii="Times New Roman" w:hAnsi="Times New Roman" w:eastAsia="仿宋" w:cs="Times New Roman"/>
          <w:b w:val="0"/>
          <w:sz w:val="28"/>
        </w:rPr>
        <w:t>宏桥控股作为国内铝业巨头，自身已拥有从氧化铝到电解铝的完整生产环节。其以635亿元收购宏拓实业，表面上是获取新增产能，但更深层的战略意图在于补足从中间品到终端产品的系统工程能力。据公开报道，宏拓实业并非单纯的电解铝企业，而是在下游铝深加工、再生铝及特种铝合金领域具备技术壁垒和客户壁垒的资产包。这类资产的价值不在于机器设备本身，而在于其将原材料转换为高附加值产品的工艺集成能力、与汽车及航空客户的长期供货关系，以及管理团队在成本控制与柔性制造方面的经验。</w:t>
      </w:r>
    </w:p>
    <w:p>
      <w:pPr>
        <w:spacing w:line="240" w:lineRule="auto"/>
        <w:ind w:firstLine="560"/>
        <w:jc w:val="both"/>
      </w:pPr>
      <w:r>
        <w:rPr>
          <w:rFonts w:ascii="Times New Roman" w:hAnsi="Times New Roman" w:eastAsia="仿宋" w:cs="Times New Roman"/>
          <w:b w:val="0"/>
          <w:sz w:val="28"/>
        </w:rPr>
        <w:t>对于并购决策者而言，评估是否应买入一个标的，首要命题是判断该资产能否成为自身产业拼图中的“能力补丁”。铝行业已从规模竞争转向差异化竞争，单纯增加常规产能并不能带来超额利润。宏桥控股选择的宏拓实业，恰是能在高端铝板带箔、挤压型材等细分市场形成协同的资产。并购前，买方应花精力去验证标的的客户认证周期、产品良率曲线及研发转化效率，而非仅看资产负债表上的净资产。若标的缺乏系统性工程能力，整合后很可能产出低效冗余，无法实现一加一大于二。</w:t>
      </w:r>
    </w:p>
    <w:p>
      <w:pPr>
        <w:spacing w:line="240" w:lineRule="auto"/>
        <w:ind w:firstLine="560"/>
        <w:jc w:val="both"/>
      </w:pPr>
      <w:r>
        <w:rPr>
          <w:rFonts w:ascii="Times New Roman" w:hAnsi="Times New Roman" w:eastAsia="仿宋" w:cs="Times New Roman"/>
          <w:b w:val="0"/>
          <w:sz w:val="28"/>
        </w:rPr>
        <w:t>此外，标的的系统工程能力还体现在其与宏观周期的抗风险机制上。宏拓实业的产品结构偏向消费电子和新能源车，与宏桥控股原有的建筑型材和工业型材形成互补。并购前必须验证：当铝价进入下行通道，深加工产品的毛利能否对冲原材价格波动？标的的客户集中度是否过高？这些问题直接关系到整合后的利润稳定性，也是估值假设中核心变量之一。</w:t>
      </w:r>
    </w:p>
    <w:p>
      <w:pPr>
        <w:spacing w:before="160" w:after="80"/>
        <w:ind w:firstLine="200"/>
      </w:pPr>
      <w:r>
        <w:rPr>
          <w:rFonts w:ascii="Times New Roman" w:hAnsi="Times New Roman" w:eastAsia="仿宋" w:cs="Times New Roman"/>
          <w:b/>
          <w:sz w:val="28"/>
        </w:rPr>
        <w:t>二、“635亿”交易结构的资金安排：如何防止一笔收购拖垮母公司</w:t>
      </w:r>
    </w:p>
    <w:p>
      <w:pPr>
        <w:spacing w:line="240" w:lineRule="auto"/>
        <w:ind w:firstLine="560"/>
        <w:jc w:val="both"/>
      </w:pPr>
      <w:r>
        <w:rPr>
          <w:rFonts w:ascii="Times New Roman" w:hAnsi="Times New Roman" w:eastAsia="仿宋" w:cs="Times New Roman"/>
          <w:b w:val="0"/>
          <w:sz w:val="28"/>
        </w:rPr>
        <w:t>635亿元的交易对价，即便对于宏桥控股这样的产业龙头，也是一次巨大的现金压力测试。公告中未披露全部支付细节，但据行业惯例，此类大型产业并购通常采用“自有资金+债务融资+后续再融资”的组合。第一步，买方可能先以自有资金支付部分定金和首期款，剩余部分通过银行贷款或发行并购债筹集，然后在交易完成后通过标的自身现金流或资本市场再融资置换高息债务。这种安排的关键在于，并购负债必须与标的未来可产生的自由现金流相匹配，否则将侵蚀母公司造血能力。</w:t>
      </w:r>
    </w:p>
    <w:p>
      <w:pPr>
        <w:spacing w:line="240" w:lineRule="auto"/>
        <w:ind w:firstLine="560"/>
        <w:jc w:val="both"/>
      </w:pPr>
      <w:r>
        <w:rPr>
          <w:rFonts w:ascii="Times New Roman" w:hAnsi="Times New Roman" w:eastAsia="仿宋" w:cs="Times New Roman"/>
          <w:b w:val="0"/>
          <w:sz w:val="28"/>
        </w:rPr>
        <w:t>风险隔离是交易结构的另一核心要素。宏桥控股很可能设立一个SPV（特殊目的公司）作为收购主体，将收购负债置于SPV层面，而非直接挂在母公司报表上。这样即便标的短期经营不及预期，债权人也无法直接追索母公司其他优质资产。但隔离并非万能，若SPV无法按时偿付债务，母公司仍可能因担保或声誉风险被迫注入资金。因此，并购前应模拟极端情景：假设铝价下跌20%、需求萎缩30%，标的能否覆盖利息支出？若不能，母公司是否有备用流动性？这种压力测试是估值谈判的前提，也是决定是否启动收购的分水岭。</w:t>
      </w:r>
    </w:p>
    <w:p>
      <w:pPr>
        <w:spacing w:line="240" w:lineRule="auto"/>
        <w:ind w:firstLine="560"/>
        <w:jc w:val="both"/>
      </w:pPr>
      <w:r>
        <w:rPr>
          <w:rFonts w:ascii="Times New Roman" w:hAnsi="Times New Roman" w:eastAsia="仿宋" w:cs="Times New Roman"/>
          <w:b w:val="0"/>
          <w:sz w:val="28"/>
        </w:rPr>
        <w:t>此外，交易结构还涉及对价支付节奏。典型的保护机制包括分期支付、业绩对赌和类似锁箱机制的价款调整条款。例如，首期支付收购总价的60%，剩余40%在未来两至三年内根据标的净利润或EBITDA完成情况分批支付。这样既降低了买方的期初资金压力，又锁定了卖方的持续经营承诺。宏桥控股若采用类似安排，可有效对冲宏拓实业整合初期的经营波动。但需注意，对赌条款需要设计严密的审计和核算规则，避免因利润定义模糊引发争端。并购前，法律和财务顾问应当就“净利润”的计算口径、非经常性损益的剔除等细节达成一致。</w:t>
      </w:r>
    </w:p>
    <w:p>
      <w:pPr>
        <w:spacing w:before="160" w:after="80"/>
        <w:ind w:firstLine="200"/>
      </w:pPr>
      <w:r>
        <w:rPr>
          <w:rFonts w:ascii="Times New Roman" w:hAnsi="Times New Roman" w:eastAsia="仿宋" w:cs="Times New Roman"/>
          <w:b/>
          <w:sz w:val="28"/>
        </w:rPr>
        <w:t>三、估值假设必须验证：铝周期与整合溢价的“藏雷点”</w:t>
      </w:r>
    </w:p>
    <w:p>
      <w:pPr>
        <w:spacing w:line="240" w:lineRule="auto"/>
        <w:ind w:firstLine="560"/>
        <w:jc w:val="both"/>
      </w:pPr>
      <w:r>
        <w:rPr>
          <w:rFonts w:ascii="Times New Roman" w:hAnsi="Times New Roman" w:eastAsia="仿宋" w:cs="Times New Roman"/>
          <w:b w:val="0"/>
          <w:sz w:val="28"/>
        </w:rPr>
        <w:t>635亿元的估值对应多少倍PE或EV/EBITDA，公开信息未能直接显示，但可基于铝行业可比交易推算。大型铝业资产通常按重置成本法或现金流折现法估值，但折现率中隐含的风险溢价差异巨大。宏拓实业的估值之所以较高，很可能是因为买方预判了整合带来的协同溢价，例如采购端氧化铝集中议价、销售端共享客户渠道、技术端联合研发新材料。然而，这些协同效应并非自动实现，需要投入额外资本和时间，且存在不确定性。并购前必须对每项协同进行量化测算，并验证其可行性。</w:t>
      </w:r>
    </w:p>
    <w:p>
      <w:pPr>
        <w:spacing w:line="240" w:lineRule="auto"/>
        <w:ind w:firstLine="560"/>
        <w:jc w:val="both"/>
      </w:pPr>
      <w:r>
        <w:rPr>
          <w:rFonts w:ascii="Times New Roman" w:hAnsi="Times New Roman" w:eastAsia="仿宋" w:cs="Times New Roman"/>
          <w:b w:val="0"/>
          <w:sz w:val="28"/>
        </w:rPr>
        <w:t>铝行业具有强周期性，价格波动直接影响标的盈利能力。假设收购时铝价处于相对高位，估值模型中的未来现金流预期必然乐观；一旦铝价回落，标的利润可能腰斩，届时商誉减值风险凸显。因此，并购前的敏感性分析至关重要。建议买方分三种情景：基准情景（未来三年铝价维持在历史均值）、乐观情景（铝价上涨10%）、悲观情景（铝价下跌20%），分别计算标的的自由现金流和偿债能力。若悲观情景下标的企业现金流仍能覆盖利息支出，则交易安全垫足够；否则应重新谈判估值或调整交易结构。</w:t>
      </w:r>
    </w:p>
    <w:p>
      <w:pPr>
        <w:spacing w:line="240" w:lineRule="auto"/>
        <w:ind w:firstLine="560"/>
        <w:jc w:val="both"/>
      </w:pPr>
      <w:r>
        <w:rPr>
          <w:rFonts w:ascii="Times New Roman" w:hAnsi="Times New Roman" w:eastAsia="仿宋" w:cs="Times New Roman"/>
          <w:b w:val="0"/>
          <w:sz w:val="28"/>
        </w:rPr>
        <w:t>另一个容易忽视的验证点是标的资产的技术壁垒是否真实。铝加工行业产能过剩严重，低端产品基本无壁垒，高端市场则由少数企业把控。宏拓实业若能持续获取汽车板、航空铝材等认证，则其估值有支撑；若认证到期后无法续期，客户随时可能切换供应商。因此，尽调中应重点审查标的的核心客户合同期限、专利法律状态以及研发人员流失率。这些软性指标比历史财务数据更能预测未来。并购前不验证，投后往往陷入被动。</w:t>
      </w:r>
    </w:p>
    <w:p>
      <w:pPr>
        <w:spacing w:before="160" w:after="80"/>
        <w:ind w:firstLine="200"/>
      </w:pPr>
      <w:r>
        <w:rPr>
          <w:rFonts w:ascii="Times New Roman" w:hAnsi="Times New Roman" w:eastAsia="仿宋" w:cs="Times New Roman"/>
          <w:b/>
          <w:sz w:val="28"/>
        </w:rPr>
        <w:t>四、交割后整合的三大关键：管理留任、业务协同与系统对接</w:t>
      </w:r>
    </w:p>
    <w:p>
      <w:pPr>
        <w:spacing w:line="240" w:lineRule="auto"/>
        <w:ind w:firstLine="560"/>
        <w:jc w:val="both"/>
      </w:pPr>
      <w:r>
        <w:rPr>
          <w:rFonts w:ascii="Times New Roman" w:hAnsi="Times New Roman" w:eastAsia="仿宋" w:cs="Times New Roman"/>
          <w:b w:val="0"/>
          <w:sz w:val="28"/>
        </w:rPr>
        <w:t>整合是决定并购成败的落子点。宏桥控股在交割后应首先明确宏拓实业核心管理团队的留任安排。铝加工企业的技术诀窍与客户关系高度依赖关键人物，若交割后关键研发负责人或销售总监离职，标的的价值将大打折扣。因此，交易条款中应设置管理激励计划，例如业绩目标达成后给予额外现金奖励或股权期权。同时，应建立明确的汇报关系：是让宏拓实业作为独立子公司运营，还是直接并入宏桥控股的现有业务板块？建议初期保留其独立性，只在战略层面对齐，待文化融合后再逐步整合运营。</w:t>
      </w:r>
    </w:p>
    <w:p>
      <w:pPr>
        <w:spacing w:line="240" w:lineRule="auto"/>
        <w:ind w:firstLine="560"/>
        <w:jc w:val="both"/>
      </w:pPr>
      <w:r>
        <w:rPr>
          <w:rFonts w:ascii="Times New Roman" w:hAnsi="Times New Roman" w:eastAsia="仿宋" w:cs="Times New Roman"/>
          <w:b w:val="0"/>
          <w:sz w:val="28"/>
        </w:rPr>
        <w:t>业务协同的落实需要具体项目推动。采购端，宏桥控股可利用其全球采购网络帮助宏拓实业降低原料成本，例如统一采购铝土矿、氧化铝和电力。销售端，双方可共享客户资源，将宏拓实业的高端产品导入宏桥控股原有渠道，反之亦然。但协同不应强行推进，而应基于成本效益分析。例如，若两家公司的信息系统不兼容，强行统一可能导致数据混乱。建议成立联合整合办公室，由双方高管组成，每周召开例会跟踪协同项目进展，并设定定量指标（如采购降本率、交叉销售比例、交付周期缩短天数）。</w:t>
      </w:r>
    </w:p>
    <w:p>
      <w:pPr>
        <w:spacing w:line="240" w:lineRule="auto"/>
        <w:ind w:firstLine="560"/>
        <w:jc w:val="both"/>
      </w:pPr>
      <w:r>
        <w:rPr>
          <w:rFonts w:ascii="Times New Roman" w:hAnsi="Times New Roman" w:eastAsia="仿宋" w:cs="Times New Roman"/>
          <w:b w:val="0"/>
          <w:sz w:val="28"/>
        </w:rPr>
        <w:t>系统对接是整合中最容易被低估的难点。宏桥控股和宏拓实业可能使用不同的ERP、MES和财务系统，数据标准不一致。整合初期应优先实现财务并表和关键经营数据汇通，而非一步到位全面改造。同时，企业文化差异也不容忽视：宏桥控股作为老牌龙头企业，管理风格可能偏向集权；宏拓实业作为技术驱动型企业，可能更强调敏捷和员工自主。在整合前三个月，双方高层应共同组织文化融入工作坊，明确价值观共识和行为底线。交割后若发现文化冲突严重，需及时调整组织架构或更换整合负责人。</w:t>
      </w:r>
    </w:p>
    <w:p>
      <w:pPr>
        <w:spacing w:before="160" w:after="80"/>
        <w:ind w:firstLine="200"/>
      </w:pPr>
      <w:r>
        <w:rPr>
          <w:rFonts w:ascii="Times New Roman" w:hAnsi="Times New Roman" w:eastAsia="仿宋" w:cs="Times New Roman"/>
          <w:b/>
          <w:sz w:val="28"/>
        </w:rPr>
        <w:t>五、资本化退出路径：从整合标的到上市平台的“最后一公里”</w:t>
      </w:r>
    </w:p>
    <w:p>
      <w:pPr>
        <w:spacing w:line="240" w:lineRule="auto"/>
        <w:ind w:firstLine="560"/>
        <w:jc w:val="both"/>
      </w:pPr>
      <w:r>
        <w:rPr>
          <w:rFonts w:ascii="Times New Roman" w:hAnsi="Times New Roman" w:eastAsia="仿宋" w:cs="Times New Roman"/>
          <w:b w:val="0"/>
          <w:sz w:val="28"/>
        </w:rPr>
        <w:t>宏桥控股收购宏拓实业，最终目标很可能是将其资本化，即通过IPO或注入上市公司实现价值释放。按照“整合一级资产+资本化”的分类逻辑，这类并购的终点不是持有资产，而是让资产成为公众公司的核心板块。具体路径有二：一是将宏拓实业独立上市，利用其自身经营记录和市场故事吸引投资者；二是将其资产注入宏桥控股旗下已有的上市平台（如中国宏桥），实现协同效应和重估。两种路径都需要满足监管对连续经营、关联交易合规性和独立性要求。</w:t>
      </w:r>
    </w:p>
    <w:p>
      <w:pPr>
        <w:spacing w:line="240" w:lineRule="auto"/>
        <w:ind w:firstLine="560"/>
        <w:jc w:val="both"/>
      </w:pPr>
      <w:r>
        <w:rPr>
          <w:rFonts w:ascii="Times New Roman" w:hAnsi="Times New Roman" w:eastAsia="仿宋" w:cs="Times New Roman"/>
          <w:b w:val="0"/>
          <w:sz w:val="28"/>
        </w:rPr>
        <w:t>若选择独立IPO，宏拓实业需证明其治理结构独立，与宏桥控股之间的关联交易定价公允且占比可控。通常监管要求同业竞争须彻底解决，因此宏桥控股可能需要将同类业务资产一并置入，或者做出不竞争承诺。此外，IPO的时间窗口也需考量：铝行业景气周期时，市场愿意给予更高估值；低谷期则应暂缓。因此，整合后的前两至三年是关键培育期，应聚焦于提升营收增速和利润率，为上市储备优异的财务数据。</w:t>
      </w:r>
    </w:p>
    <w:p>
      <w:pPr>
        <w:spacing w:line="240" w:lineRule="auto"/>
        <w:ind w:firstLine="560"/>
        <w:jc w:val="both"/>
      </w:pPr>
      <w:r>
        <w:rPr>
          <w:rFonts w:ascii="Times New Roman" w:hAnsi="Times New Roman" w:eastAsia="仿宋" w:cs="Times New Roman"/>
          <w:b w:val="0"/>
          <w:sz w:val="28"/>
        </w:rPr>
        <w:t>若选择注入现有上市平台，则需设计交易架构，例如发行股份购买资产并募集配套资金。此时，对标的的估值将直接影响老股东利益。宏桥控股应提前与上市公司的其他股东沟通，说明整合带来的长期价值。同时，注入后的业绩承诺和商誉减值测试需要审慎处理，避免后续暴雷。无论哪种路径，资本化成功的前提是宏拓实业在整合后能保持独立竞争力，而非沦为集团的附属工厂。从宏桥的布局看，这笔635亿元的交易若顺利走到资本化，将成为“并购六条”后产业整合的标杆案例，为类似交易提供可复用的资金安排、估值逻辑和整合方法论。</w:t>
      </w:r>
    </w:p>
    <w:sectPr w:rsidR="00FC693F" w:rsidRPr="0006063C" w:rsidSect="00034616">
      <w:pgSz w:w="11906" w:h="16838"/>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ind w:firstLine="560"/>
      <w:jc w:val="both"/>
    </w:pPr>
    <w:rPr>
      <w:rFonts w:ascii="Times New Roman" w:hAnsi="Times New Roman" w:eastAsia="仿宋"/>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