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黑体" w:cs="Times New Roman"/>
          <w:b w:val="0"/>
          <w:sz w:val="30"/>
        </w:rPr>
        <w:t>亏损上市平台高溢价并购同类资产：晶丰明源收购易冲科技背后的协同逻辑与风险底线</w:t>
      </w:r>
    </w:p>
    <w:p>
      <w:pPr>
        <w:spacing w:line="240" w:lineRule="auto"/>
        <w:ind w:firstLine="560"/>
        <w:jc w:val="both"/>
      </w:pPr>
      <w:r>
        <w:rPr>
          <w:rFonts w:ascii="Times New Roman" w:hAnsi="Times New Roman" w:eastAsia="仿宋" w:cs="Times New Roman"/>
          <w:b w:val="0"/>
          <w:sz w:val="28"/>
        </w:rPr>
        <w:t>对于上市公司董事长和CEO而言，这笔交易最直接的借鉴在于：当自身主业持续亏损、股价承压时，是否可以通过高溢价并购一家同样亏损但技术互补的标的来扭转局面？晶丰明源以超260%的溢价收购易冲科技100%股权，交易对价约10亿元（据公开资料估算），而标的公司连续多年亏损，账面净资产可能为负。这种看似冒险的决策，背后是买方对技术平台整合后产生“1+1&gt;2”效应的判断。但并购前必须验证：标的的技术能否真正补齐短板？客户重叠度如何？管理团队是否愿意长期绑定？交易结构中的业绩对赌是否覆盖了估值泡沫风险？本文从战略匹配、估值假设、交易条款、投后整合四个维度拆解这笔交易，帮助决策者理解亏损平台通过并购转型的可行性边界。</w:t>
      </w:r>
    </w:p>
    <w:p>
      <w:pPr>
        <w:spacing w:before="160" w:after="80"/>
        <w:ind w:firstLine="200"/>
      </w:pPr>
      <w:r>
        <w:rPr>
          <w:rFonts w:ascii="Times New Roman" w:hAnsi="Times New Roman" w:eastAsia="仿宋" w:cs="Times New Roman"/>
          <w:b/>
          <w:sz w:val="28"/>
        </w:rPr>
        <w:t>一、买方真正买入的是系统工程能力，而非重资产制造产能</w:t>
      </w:r>
    </w:p>
    <w:p>
      <w:pPr>
        <w:spacing w:line="240" w:lineRule="auto"/>
        <w:ind w:firstLine="560"/>
        <w:jc w:val="both"/>
      </w:pPr>
      <w:r>
        <w:rPr>
          <w:rFonts w:ascii="Times New Roman" w:hAnsi="Times New Roman" w:eastAsia="仿宋" w:cs="Times New Roman"/>
          <w:b w:val="0"/>
          <w:sz w:val="28"/>
        </w:rPr>
        <w:t>晶丰明源主营LED照明驱动芯片，近年受行业周期下行和竞争加剧影响，2022年至2024年连续三年业绩亏损，累计亏损规模据公开报道约数亿元。易冲科技则专注于无线充电芯片及电源管理解决方案，产品应用于消费电子、物联网等领域。两家公司均属于模拟芯片设计企业，采用Fabless模式，不持有晶圆制造等重资产。从资产负债表看，易冲科技的账面净资产可能极低甚至为负，但晶丰明源愿意支付超260%的溢价，看中的是标的公司在无线充电领域的系统级芯片设计能力和已有的客户资源。</w:t>
      </w:r>
    </w:p>
    <w:p>
      <w:pPr>
        <w:spacing w:line="240" w:lineRule="auto"/>
        <w:ind w:firstLine="560"/>
        <w:jc w:val="both"/>
      </w:pPr>
      <w:r>
        <w:rPr>
          <w:rFonts w:ascii="Times New Roman" w:hAnsi="Times New Roman" w:eastAsia="仿宋" w:cs="Times New Roman"/>
          <w:b w:val="0"/>
          <w:sz w:val="28"/>
        </w:rPr>
        <w:t>在芯片设计行业，并购的核心价值往往不在于账面资产，而在于研发团队、IP组合以及已通过客户验证的解决方案。据公开资料，易冲科技在无线快充领域已进入多家主流手机品牌供应链，拥有数十项核心专利。晶丰明源在收购前自身已布局AC-DC电源芯片，但无线充电技术薄弱。通过整合易冲科技，买方能够快速获得一个完整的产品线，形成从有线到无线、从照明到电源管理的协同布局。这种“技术拼图”式的并购逻辑，在半导体行业屡见不鲜，但关键在于标的的技术是否已被市场验证，而非仅停留在实验室阶段。</w:t>
      </w:r>
    </w:p>
    <w:p>
      <w:pPr>
        <w:spacing w:line="240" w:lineRule="auto"/>
        <w:ind w:firstLine="560"/>
        <w:jc w:val="both"/>
      </w:pPr>
      <w:r>
        <w:rPr>
          <w:rFonts w:ascii="Times New Roman" w:hAnsi="Times New Roman" w:eastAsia="仿宋" w:cs="Times New Roman"/>
          <w:b w:val="0"/>
          <w:sz w:val="28"/>
        </w:rPr>
        <w:t>对决策者的启示：评估标的时应将技术成熟度、客户认证周期和工程师团队稳定性置于短期盈利之上。晶丰明源财务上的亏损并非并购的否决项，但需要确认标的的技术是否能直接弥补买方产品空白，并能在12个月内产生可量化的协同收入。如果标的的技术需要2-3年才能产品化，高溢价并购可能拖垮买方的现金流。</w:t>
      </w:r>
    </w:p>
    <w:p>
      <w:pPr>
        <w:spacing w:before="160" w:after="80"/>
        <w:ind w:firstLine="200"/>
      </w:pPr>
      <w:r>
        <w:rPr>
          <w:rFonts w:ascii="Times New Roman" w:hAnsi="Times New Roman" w:eastAsia="仿宋" w:cs="Times New Roman"/>
          <w:b/>
          <w:sz w:val="28"/>
        </w:rPr>
        <w:t>二、高溢价估值假设必须经过三个“压力测试”</w:t>
      </w:r>
    </w:p>
    <w:p>
      <w:pPr>
        <w:spacing w:line="240" w:lineRule="auto"/>
        <w:ind w:firstLine="560"/>
        <w:jc w:val="both"/>
      </w:pPr>
      <w:r>
        <w:rPr>
          <w:rFonts w:ascii="Times New Roman" w:hAnsi="Times New Roman" w:eastAsia="仿宋" w:cs="Times New Roman"/>
          <w:b w:val="0"/>
          <w:sz w:val="28"/>
        </w:rPr>
        <w:t>溢价的合理性建立在盈利预测之上。据公告披露，本次交易的估值采用收益法，未来现金流预测成为核心。但易冲科技连续亏损，其盈利拐点何时到来？买方在估值模型中假设：整合后第一年收入增长30%，毛利率从当前约20%提升至35%以上（行业平均水平），三年后净利润转正。这些假设必须经过极端情景测试：如果客户订单延迟、产品降价幅度超过预期、或者核心工程师流失，标的的估值将迅速坍塌。</w:t>
      </w:r>
    </w:p>
    <w:p>
      <w:pPr>
        <w:spacing w:line="240" w:lineRule="auto"/>
        <w:ind w:firstLine="560"/>
        <w:jc w:val="both"/>
      </w:pPr>
      <w:r>
        <w:rPr>
          <w:rFonts w:ascii="Times New Roman" w:hAnsi="Times New Roman" w:eastAsia="仿宋" w:cs="Times New Roman"/>
          <w:b/>
          <w:sz w:val="28"/>
        </w:rPr>
        <w:t>第一个压力测试：收入来源的可靠性。</w:t>
      </w:r>
      <w:r>
        <w:rPr>
          <w:rFonts w:ascii="Times New Roman" w:hAnsi="Times New Roman" w:eastAsia="仿宋" w:cs="Times New Roman"/>
          <w:b w:val="0"/>
          <w:sz w:val="28"/>
        </w:rPr>
        <w:t>易冲科技的收入中约60%来自前五大客户，最大客户占比超20%。若整合后客户因竞争关系（晶丰明源某客户与易冲科技客户存在重叠）而削减订单，收入可能大幅下滑。第二个压力测试：毛利率提升路径。晶丰明源自身的毛利率在2024年约为28%，而易冲科技因研发费用摊销和规模不足，毛利率低于同行。整合后能否通过采购协同和产能共享实现毛利率上升，需要具体落地计划。第三个压力测试：商誉减值风险。按超260%溢价计算，交易对价中商誉可能超过7亿元，相当于晶丰明源当前市值的15%以上。一旦业绩不达预期，商誉减值将直接冲击净利润，对连续亏损的买方是雪上加霜。</w:t>
      </w:r>
    </w:p>
    <w:p>
      <w:pPr>
        <w:spacing w:line="240" w:lineRule="auto"/>
        <w:ind w:firstLine="560"/>
        <w:jc w:val="both"/>
      </w:pPr>
      <w:r>
        <w:rPr>
          <w:rFonts w:ascii="Times New Roman" w:hAnsi="Times New Roman" w:eastAsia="仿宋" w:cs="Times New Roman"/>
          <w:b w:val="0"/>
          <w:sz w:val="28"/>
        </w:rPr>
        <w:t>决策启示：在董事会审议收购案前，管理层应要求财务顾问提供至少三套情景下的估值区间：基准、乐观、悲观。若悲观情景下估值仍高于标的净资产，则需设置更严格的业绩对赌或价格调整机制。此外，建议将至少50%的交易对价与未来业绩挂钩，以降低一次性商誉计提风险。</w:t>
      </w:r>
    </w:p>
    <w:p>
      <w:pPr>
        <w:spacing w:before="160" w:after="80"/>
        <w:ind w:firstLine="200"/>
      </w:pPr>
      <w:r>
        <w:rPr>
          <w:rFonts w:ascii="Times New Roman" w:hAnsi="Times New Roman" w:eastAsia="仿宋" w:cs="Times New Roman"/>
          <w:b/>
          <w:sz w:val="28"/>
        </w:rPr>
        <w:t>三、交易结构设计必须锁定核心团队并设置“防流失”条款</w:t>
      </w:r>
    </w:p>
    <w:p>
      <w:pPr>
        <w:spacing w:line="240" w:lineRule="auto"/>
        <w:ind w:firstLine="560"/>
        <w:jc w:val="both"/>
      </w:pPr>
      <w:r>
        <w:rPr>
          <w:rFonts w:ascii="Times New Roman" w:hAnsi="Times New Roman" w:eastAsia="仿宋" w:cs="Times New Roman"/>
          <w:b w:val="0"/>
          <w:sz w:val="28"/>
        </w:rPr>
        <w:t>轻资产芯片公司的灵魂在于人。易冲科技的核心团队包括数名创始工程师和关键销售人员，他们掌握着客户关系和芯片设计经验。若收购后人员流失，标的的价值将大幅缩水。本次交易采用现金+股份支付方式，其中股份支付占比约30%，并要求易冲科技创始人及核心高管承诺至少服务3年，且业绩承诺期内离职将触发股份回购或现金补偿。这样的安排在一定程度上绑定了关键人才，但仍有漏洞：业绩对赌期结束后，核心人员可能立即离职。</w:t>
      </w:r>
    </w:p>
    <w:p>
      <w:pPr>
        <w:spacing w:line="240" w:lineRule="auto"/>
        <w:ind w:firstLine="560"/>
        <w:jc w:val="both"/>
      </w:pPr>
      <w:r>
        <w:rPr>
          <w:rFonts w:ascii="Times New Roman" w:hAnsi="Times New Roman" w:eastAsia="仿宋" w:cs="Times New Roman"/>
          <w:b w:val="0"/>
          <w:sz w:val="28"/>
        </w:rPr>
        <w:t>更有效的做法是：在交易方案中设置“金色手铐”，将未来数年的薪酬、奖金与长期业绩指标（如客户留存率、新产品推出数量）绑定，而非仅看短期净利润。同时，建立文化融合机制，让易冲科技团队感受到在晶丰明源平台上的职业发展空间，而非仅仅是打工者。据同行业案例，整合后第一年的人员流失率控制在15%以下才可能实现技术资产保全。</w:t>
      </w:r>
    </w:p>
    <w:p>
      <w:pPr>
        <w:spacing w:line="240" w:lineRule="auto"/>
        <w:ind w:firstLine="560"/>
        <w:jc w:val="both"/>
      </w:pPr>
      <w:r>
        <w:rPr>
          <w:rFonts w:ascii="Times New Roman" w:hAnsi="Times New Roman" w:eastAsia="仿宋" w:cs="Times New Roman"/>
          <w:b w:val="0"/>
          <w:sz w:val="28"/>
        </w:rPr>
        <w:t>对决策者的警示：并购前要逐一会谈标的的核心工程师和销售负责人，了解其真实去留意向。如果超过30%的骨干表示犹豫或计划离职，要么提高留任激励，要么重新评估交易价值。另外，交易条款中应明确知识产权的归属，避免因人员离职导致专利纠纷。晶丰明源在交割后设立了“无线充电事业部”，由易冲科技原CEO挂帅，保持其运作独立性，这是正确的文化保留策略。</w:t>
      </w:r>
    </w:p>
    <w:p>
      <w:pPr>
        <w:spacing w:before="160" w:after="80"/>
        <w:ind w:firstLine="200"/>
      </w:pPr>
      <w:r>
        <w:rPr>
          <w:rFonts w:ascii="Times New Roman" w:hAnsi="Times New Roman" w:eastAsia="仿宋" w:cs="Times New Roman"/>
          <w:b/>
          <w:sz w:val="28"/>
        </w:rPr>
        <w:t>四、投后整合的关键在于客户与供应链的双向打通</w:t>
      </w:r>
    </w:p>
    <w:p>
      <w:pPr>
        <w:spacing w:line="240" w:lineRule="auto"/>
        <w:ind w:firstLine="560"/>
        <w:jc w:val="both"/>
      </w:pPr>
      <w:r>
        <w:rPr>
          <w:rFonts w:ascii="Times New Roman" w:hAnsi="Times New Roman" w:eastAsia="仿宋" w:cs="Times New Roman"/>
          <w:b w:val="0"/>
          <w:sz w:val="28"/>
        </w:rPr>
        <w:t>晶丰明源与易冲科技的客户群体存在部分重叠，但更多是互补。晶丰明源主攻LED照明和家电电源市场，客户多为照明厂商和家电ODM；易冲科技则服务手机品牌、TWS耳机和IoT设备厂商。整合后的首要任务是交叉销售：将易冲科技无线充电芯片嵌入晶丰明源现有的电源模块方案中，向照明客户推广智能充电功能；反之，将晶丰明源的AC-DC芯片导入易冲科技的消费电子客户群。据公告，整合首年计划推出5款联合产品，目标实现1亿元协同收入。</w:t>
      </w:r>
    </w:p>
    <w:p>
      <w:pPr>
        <w:spacing w:line="240" w:lineRule="auto"/>
        <w:ind w:firstLine="560"/>
        <w:jc w:val="both"/>
      </w:pPr>
      <w:r>
        <w:rPr>
          <w:rFonts w:ascii="Times New Roman" w:hAnsi="Times New Roman" w:eastAsia="仿宋" w:cs="Times New Roman"/>
          <w:b w:val="0"/>
          <w:sz w:val="28"/>
        </w:rPr>
        <w:t>供应链整合更为紧迫。两家公司均依赖台积电、中芯国际等代工厂，但产能分配和采购量级不同。晶丰明源年出货芯片超过10亿颗，具有一定的议价权；易冲科技规模较小，采购成本偏高。收购后统一采购，预计可降低制造成本5%-8%。同时，双方将共享封装测试资源，减少供应商重叠带来的管理复杂度。但需要警惕：过度整合可能导致核心技术人员不满，因为采购权限的变化会影响其原有的供应渠道稳定性。</w:t>
      </w:r>
    </w:p>
    <w:p>
      <w:pPr>
        <w:spacing w:line="240" w:lineRule="auto"/>
        <w:ind w:firstLine="560"/>
        <w:jc w:val="both"/>
      </w:pPr>
      <w:r>
        <w:rPr>
          <w:rFonts w:ascii="Times New Roman" w:hAnsi="Times New Roman" w:eastAsia="仿宋" w:cs="Times New Roman"/>
          <w:b w:val="0"/>
          <w:sz w:val="28"/>
        </w:rPr>
        <w:t>董事长应亲自督导整合委员会，每月复盘协同进展。建议设立6个月的“整合观察期”，在此期间保持两套销售团队并行，避免因组织架构调整导致客户流失。根据历史经验，芯片设计公司并购后的协同效应通常在12-18个月后显现，因此短期财务指标不应作为成败的唯一标准。晶丰明源还需考虑：易冲科技的亏损能否在合并报表中利用税务亏损进行抵扣？这需要专业的税务筹划。</w:t>
      </w:r>
    </w:p>
    <w:p>
      <w:pPr>
        <w:spacing w:before="160" w:after="80"/>
        <w:ind w:firstLine="200"/>
      </w:pPr>
      <w:r>
        <w:rPr>
          <w:rFonts w:ascii="Times New Roman" w:hAnsi="Times New Roman" w:eastAsia="仿宋" w:cs="Times New Roman"/>
          <w:b/>
          <w:sz w:val="28"/>
        </w:rPr>
        <w:t>五、对上市公司董事长：亏损平台并购的底线思维</w:t>
      </w:r>
    </w:p>
    <w:p>
      <w:pPr>
        <w:spacing w:line="240" w:lineRule="auto"/>
        <w:ind w:firstLine="560"/>
        <w:jc w:val="both"/>
      </w:pPr>
      <w:r>
        <w:rPr>
          <w:rFonts w:ascii="Times New Roman" w:hAnsi="Times New Roman" w:eastAsia="仿宋" w:cs="Times New Roman"/>
          <w:b w:val="0"/>
          <w:sz w:val="28"/>
        </w:rPr>
        <w:t>晶丰明源的案例为面临主业困境的上市公司提供了一条转型路径，但必须设置明确的止损线。首先，并购的资金来源是否可持续？据公开资料，晶丰明源账面货币资金约2亿元，不足以支付全部交易对价，需通过配套融资和银行借款解决。这意味着交易完成后公司资产负债率将从约30%攀升至50%以上，财务费用增加将加重亏损。董事长需评估：若标的在两年内未能扭亏，公司现金流能否支撑债务本息偿还？</w:t>
      </w:r>
    </w:p>
    <w:p>
      <w:pPr>
        <w:spacing w:line="240" w:lineRule="auto"/>
        <w:ind w:firstLine="560"/>
        <w:jc w:val="both"/>
      </w:pPr>
      <w:r>
        <w:rPr>
          <w:rFonts w:ascii="Times New Roman" w:hAnsi="Times New Roman" w:eastAsia="仿宋" w:cs="Times New Roman"/>
          <w:b w:val="0"/>
          <w:sz w:val="28"/>
        </w:rPr>
        <w:t>其次，业绩对赌条款必须设计“反稀释”保护。本次交易中，易冲科技承诺2025-2027年净利润分别不低于1亿元、1.5亿元、2亿元，若未达标则按差额补偿。但若标的连续两年不达标，第三年可能为了完成对赌而过度压货或削减研发，损害长期价值。因此，对赌指标不应局限于净利润，还应包含研发投入占比、新产品毛利率等质量指标。此外，建议设置“Earn-out”机制，将超过70%的溢价部分分3-5年支付，与业绩挂钩，降低一次性商誉风险。</w:t>
      </w:r>
    </w:p>
    <w:p>
      <w:pPr>
        <w:spacing w:line="240" w:lineRule="auto"/>
        <w:ind w:firstLine="560"/>
        <w:jc w:val="both"/>
      </w:pPr>
      <w:r>
        <w:rPr>
          <w:rFonts w:ascii="Times New Roman" w:hAnsi="Times New Roman" w:eastAsia="仿宋" w:cs="Times New Roman"/>
          <w:b w:val="0"/>
          <w:sz w:val="28"/>
        </w:rPr>
        <w:t>最后，决策者要清醒认识到：并购不是万能药。若晶丰明源自身主业的竞争力持续恶化，即使整合成功，也可能被更大的系统风险吞噬。一个健康的并购应当使合并后的企业具备自我造血能力，而非依赖资本市场再融资维持。在董事会层面，应设立独立第三方评估委员会，对交易假设进行审核，防止管理层过度乐观。此案给上市公司CEO的核心启示是：亏损平台并购的容错空间极小，必须在每一个环节都保留“退出”或“修正”的权利。</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ind w:firstLine="560"/>
      <w:jc w:val="both"/>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