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以平台为锚，横向整合同类资产：五新隧装收购案中的并购前验证、交易设计及投后承接启示</w:t>
      </w:r>
    </w:p>
    <w:p>
      <w:pPr>
        <w:spacing w:line="240" w:lineRule="auto"/>
        <w:ind w:firstLine="560"/>
        <w:jc w:val="both"/>
      </w:pPr>
      <w:r>
        <w:rPr>
          <w:rFonts w:ascii="Times New Roman" w:hAnsi="Times New Roman" w:eastAsia="仿宋" w:cs="Times New Roman"/>
          <w:b w:val="0"/>
          <w:sz w:val="28"/>
        </w:rPr>
        <w:t>对上市公司董事长和CEO而言，五新隧装的这次收购展示了一个典型场景：上市公司依托已有平台，在产业链内寻找可协同的同类标的，通过横向并购实现规模与效率的提升。并购前如何判断标的的真实价值？交易结构中的对价、支付与业绩承诺如何设计才能平衡风险？交割后如何快速实现业务整合并释放协同效应？五新隧装用这次收购给出了可借鉴的实操框架。该交易涉及标的资产过户、主业结构优化及后市场营收增长，核心启示在于：买方真正买入的是标的的客户渠道、技术能力与管理体系，而非仅仅是产能或订单；投后整合的关键在于将标的纳入上市公司统一运营平台，并保留核心团队。</w:t>
      </w:r>
    </w:p>
    <w:p>
      <w:pPr>
        <w:spacing w:before="160" w:after="80"/>
        <w:ind w:firstLine="200"/>
      </w:pPr>
      <w:r>
        <w:rPr>
          <w:rFonts w:ascii="Times New Roman" w:hAnsi="Times New Roman" w:eastAsia="仿宋" w:cs="Times New Roman"/>
          <w:b/>
          <w:sz w:val="28"/>
        </w:rPr>
        <w:t>一、并购前应验证标的是否具备“可平台化”的系统工程能力，而非单纯查看财务数据</w:t>
      </w:r>
    </w:p>
    <w:p>
      <w:pPr>
        <w:spacing w:line="240" w:lineRule="auto"/>
        <w:ind w:firstLine="560"/>
        <w:jc w:val="both"/>
      </w:pPr>
      <w:r>
        <w:rPr>
          <w:rFonts w:ascii="Times New Roman" w:hAnsi="Times New Roman" w:eastAsia="仿宋" w:cs="Times New Roman"/>
          <w:b w:val="0"/>
          <w:sz w:val="28"/>
        </w:rPr>
        <w:t>在五新隧装收购同类资产前，管理层需要回答一个关键问题：标的资产能否融入上市公司现有的研发、生产、销售和服务体系？据公开资料，五新隧装自身主业为隧道施工智能装备，标的资产同样涉及该领域。并购前的尽调不应仅关注营收、净利润等历史财务数据，更应验证标的在技术、工艺、客户结构与售后服务上的匹配度。五新隧装通过对比双方的客户重叠度、技术路线及供应链重合程度，确认标的具备“即插即用”的整合基础。具体而言，标的的后市场服务能力与上市公司的新机销售形成互补，这是判断可平台化的关键信号。</w:t>
      </w:r>
    </w:p>
    <w:p>
      <w:pPr>
        <w:spacing w:line="240" w:lineRule="auto"/>
        <w:ind w:firstLine="560"/>
        <w:jc w:val="both"/>
      </w:pPr>
      <w:r>
        <w:rPr>
          <w:rFonts w:ascii="Times New Roman" w:hAnsi="Times New Roman" w:eastAsia="仿宋" w:cs="Times New Roman"/>
          <w:b w:val="0"/>
          <w:sz w:val="28"/>
        </w:rPr>
        <w:t>一个可操作的方法是：将标的的核心客户名单与上市公司现有客户进行交叉比对，若重叠度低于30%，则意味着渠道整合成本可能过高；同时，验证标的的研发团队是否具备快速移植至上市公司技术平台的能力。五新隧装在尽调中发现，标的在隧道装备的后市场服务领域拥有独特优势，这与上市公司主攻新机销售的“前市场”形成互补，从而避免了同质化竞争，实现了“前市场+后市场”的闭环。此外，还需评估标的的系统工程能力——即从研发、采购、生产到交付的完整链条能否在脱离原股东后依旧高效运转。</w:t>
      </w:r>
    </w:p>
    <w:p>
      <w:pPr>
        <w:spacing w:line="240" w:lineRule="auto"/>
        <w:ind w:firstLine="560"/>
        <w:jc w:val="both"/>
      </w:pPr>
      <w:r>
        <w:rPr>
          <w:rFonts w:ascii="Times New Roman" w:hAnsi="Times New Roman" w:eastAsia="仿宋" w:cs="Times New Roman"/>
          <w:b w:val="0"/>
          <w:sz w:val="28"/>
        </w:rPr>
        <w:t>管理层还应验证标的的产能利用率与订单结构。如果标的过度依赖单一客户或单一项目，则其收入波动风险巨大。五新隧装要求标的提供过去三年前五大客户名单及合同履约记录，确认其客户结构分散且订单持续性良好。这一验证过程，本质上是在判断标的的系统工程能力——即能否在脱离原股东后，仍保持稳定的研发、生产和交付节奏。另外，尽调团队应深入标的生产现场，观察其工艺流程与上市公司现有产线的兼容性，若需大幅改造则可能延缓整合进度并增加成本。</w:t>
      </w:r>
    </w:p>
    <w:p>
      <w:pPr>
        <w:spacing w:before="160" w:after="80"/>
        <w:ind w:firstLine="200"/>
      </w:pPr>
      <w:r>
        <w:rPr>
          <w:rFonts w:ascii="Times New Roman" w:hAnsi="Times New Roman" w:eastAsia="仿宋" w:cs="Times New Roman"/>
          <w:b/>
          <w:sz w:val="28"/>
        </w:rPr>
        <w:t>二、交易结构设计应锁定核心假设：估值、支付方式与业绩承诺的联动逻辑</w:t>
      </w:r>
    </w:p>
    <w:p>
      <w:pPr>
        <w:spacing w:line="240" w:lineRule="auto"/>
        <w:ind w:firstLine="560"/>
        <w:jc w:val="both"/>
      </w:pPr>
      <w:r>
        <w:rPr>
          <w:rFonts w:ascii="Times New Roman" w:hAnsi="Times New Roman" w:eastAsia="仿宋" w:cs="Times New Roman"/>
          <w:b w:val="0"/>
          <w:sz w:val="28"/>
        </w:rPr>
        <w:t>五新隧装收购案的对价、支付方式及业绩承诺，是交易结构设计的核心。根据公告披露，本次收购采用现金加股份的混合支付方式，其中现金部分约占总对价的70%，股份部分占30%。这种安排既缓解了上市公司的资金压力，又将标的原股东的利益与上市公司股价绑定。估值方面，双方以标的未来三年平均净利润的10倍市盈率作为基准，并设置了业绩承诺条款：标的承诺在交割后第一年净利润不低于3000万元，第二年不低于3500万元，第三年不低于4000万元；若未达成，原股东需以现金或股份进行差额补偿。</w:t>
      </w:r>
    </w:p>
    <w:p>
      <w:pPr>
        <w:spacing w:line="240" w:lineRule="auto"/>
        <w:ind w:firstLine="560"/>
        <w:jc w:val="both"/>
      </w:pPr>
      <w:r>
        <w:rPr>
          <w:rFonts w:ascii="Times New Roman" w:hAnsi="Times New Roman" w:eastAsia="仿宋" w:cs="Times New Roman"/>
          <w:b w:val="0"/>
          <w:sz w:val="28"/>
        </w:rPr>
        <w:t>这一设计的巧妙之处在于：业绩承诺的覆盖期恰好与标的业务与上市公司融合的关键期重合。如果标的无法在三年内达到承诺利润，说明协同效应未能落地，此时补偿机制可为上市公司提供保护。同时，现金加股份的支付结构使得标的原股东有动力在交割后持续经营并配合整合——因为其持有的上市公司股份价值与整合成败直接挂钩。据统计，交易总对价约4亿元，对应静态市盈率约13倍，考虑协同效应后实际收购成本可控。</w:t>
      </w:r>
    </w:p>
    <w:p>
      <w:pPr>
        <w:spacing w:line="240" w:lineRule="auto"/>
        <w:ind w:firstLine="560"/>
        <w:jc w:val="both"/>
      </w:pPr>
      <w:r>
        <w:rPr>
          <w:rFonts w:ascii="Times New Roman" w:hAnsi="Times New Roman" w:eastAsia="仿宋" w:cs="Times New Roman"/>
          <w:b w:val="0"/>
          <w:sz w:val="28"/>
        </w:rPr>
        <w:t>对于同样筹划收购的CEO而言，可借鉴的规则是：交易对价不应仅看历史财务报表，而应基于“整合后的协同增量”进行动态定价。五新隧装在估值模型中加入了“协同系数”——即预计因渠道共享、采购协同和产能利用率提升带来的额外利润，并以此为基础与标的方协商业绩承诺的基准线。此外，支付方式应结合上市公司的现金储备和股价估值水平：若公司股价处于高位，可适当提高股份支付比例；若现金充裕且利率较低，则可偏向现金支付，以减少股份稀释。同时，业绩承诺的考核周期不宜过短，建议覆盖整合关键期（通常为3年），并设置超额利润分享机制以激励标的团队。</w:t>
      </w:r>
    </w:p>
    <w:p>
      <w:pPr>
        <w:spacing w:before="160" w:after="80"/>
        <w:ind w:firstLine="200"/>
      </w:pPr>
      <w:r>
        <w:rPr>
          <w:rFonts w:ascii="Times New Roman" w:hAnsi="Times New Roman" w:eastAsia="仿宋" w:cs="Times New Roman"/>
          <w:b/>
          <w:sz w:val="28"/>
        </w:rPr>
        <w:t>三、交割前必须验证的两类假设：客户留存与核心团队稳定性</w:t>
      </w:r>
    </w:p>
    <w:p>
      <w:pPr>
        <w:spacing w:line="240" w:lineRule="auto"/>
        <w:ind w:firstLine="560"/>
        <w:jc w:val="both"/>
      </w:pPr>
      <w:r>
        <w:rPr>
          <w:rFonts w:ascii="Times New Roman" w:hAnsi="Times New Roman" w:eastAsia="仿宋" w:cs="Times New Roman"/>
          <w:b w:val="0"/>
          <w:sz w:val="28"/>
        </w:rPr>
        <w:t>在许多并购案例中，交割后最大的风险是客户流失和核心团队出走。五新隧装在收购前就明确要求标的提供其前十大客户的书面承诺函，表明在控制权变更后将继续保持合作。同时，上市公司将标的的核心技术团队与销售负责人纳入了股权激励计划，设定了为期三年的竞业禁止与留存奖金。这一预安排大大降低了交割后的不确定性。据公告，标的的前十大客户贡献了约60%的营收，客户承诺函覆盖了80%以上的收入来源。</w:t>
      </w:r>
    </w:p>
    <w:p>
      <w:pPr>
        <w:spacing w:line="240" w:lineRule="auto"/>
        <w:ind w:firstLine="560"/>
        <w:jc w:val="both"/>
      </w:pPr>
      <w:r>
        <w:rPr>
          <w:rFonts w:ascii="Times New Roman" w:hAnsi="Times New Roman" w:eastAsia="仿宋" w:cs="Times New Roman"/>
          <w:b w:val="0"/>
          <w:sz w:val="28"/>
        </w:rPr>
        <w:t>具体操作层面，五新隧装要求标的的创始人及主要股东签订《服务与不竞争协议》，约定其在交割后至少留任三年，并担任上市公司子公司总经理或技术负责人。如果创始人提前离职，其股份对价中尚未解锁的部分将被没收。此外，上市公司还预留了约5%的股权作为期权池，用于激励标的的中层骨干。这些条款的实质是将“人”的价值显性化，并通过经济利益锁定关键人才。同时，上市公司对标的的中层管理人员逐一访谈，评估其留任意愿，并对关键岗位设计了薪酬过渡方案。</w:t>
      </w:r>
    </w:p>
    <w:p>
      <w:pPr>
        <w:spacing w:line="240" w:lineRule="auto"/>
        <w:ind w:firstLine="560"/>
        <w:jc w:val="both"/>
      </w:pPr>
      <w:r>
        <w:rPr>
          <w:rFonts w:ascii="Times New Roman" w:hAnsi="Times New Roman" w:eastAsia="仿宋" w:cs="Times New Roman"/>
          <w:b w:val="0"/>
          <w:sz w:val="28"/>
        </w:rPr>
        <w:t>客户关系方面，五新隧装在尽调时不仅查看合同，还直接访谈了标的的前五大客户，了解其购买决策是否依赖于标的的创始人或特定技术人员。如果客户高度依赖个人关系而非公司平台，则收购后流失风险极大。幸运的是，标的的客户决策更倾向于产品性能与售后服务，这使得五新隧装可以通过自身的服务网络直接承接，而无需过度依赖原团队。这一验证步骤为随后的整合扫清了最大障碍。此外，上市公司还与标的的供应商协商，确保在控制权变更后供应链合同继续有效，避免因所有权变化导致的供货中断。</w:t>
      </w:r>
    </w:p>
    <w:p>
      <w:pPr>
        <w:spacing w:before="160" w:after="80"/>
        <w:ind w:firstLine="200"/>
      </w:pPr>
      <w:r>
        <w:rPr>
          <w:rFonts w:ascii="Times New Roman" w:hAnsi="Times New Roman" w:eastAsia="仿宋" w:cs="Times New Roman"/>
          <w:b/>
          <w:sz w:val="28"/>
        </w:rPr>
        <w:t>四、交割后整合的核心是“无缝承接”：从业务、系统到文化的三步融合</w:t>
      </w:r>
    </w:p>
    <w:p>
      <w:pPr>
        <w:spacing w:line="240" w:lineRule="auto"/>
        <w:ind w:firstLine="560"/>
        <w:jc w:val="both"/>
      </w:pPr>
      <w:r>
        <w:rPr>
          <w:rFonts w:ascii="Times New Roman" w:hAnsi="Times New Roman" w:eastAsia="仿宋" w:cs="Times New Roman"/>
          <w:b w:val="0"/>
          <w:sz w:val="28"/>
        </w:rPr>
        <w:t>资产过户只是并购的开始。五新隧装在交割后迅速启动了“百日整合计划”，分为三个阶段：第一阶段是业务交接，将标的的供应链纳入上市公司的采购体系，同时统一售后服务热线与配件仓库；第二阶段是系统整合，将标的的ERP、CRM与财务系统迁移至上市公司统一平台，实现数据实时共享；第三阶段是文化融合，通过定期召开双方中层管理联席会议，逐步消除人员隔阂。整个整合计划由上市公司运营副总裁牵头，设定了每周追踪节点和里程碑。</w:t>
      </w:r>
    </w:p>
    <w:p>
      <w:pPr>
        <w:spacing w:line="240" w:lineRule="auto"/>
        <w:ind w:firstLine="560"/>
        <w:jc w:val="both"/>
      </w:pPr>
      <w:r>
        <w:rPr>
          <w:rFonts w:ascii="Times New Roman" w:hAnsi="Times New Roman" w:eastAsia="仿宋" w:cs="Times New Roman"/>
          <w:b w:val="0"/>
          <w:sz w:val="28"/>
        </w:rPr>
        <w:t>据公告披露，整合半年后，标的的营业收入同比增长约15%，后市场服务收入更是增加了约25%。这主要得益于上市公司将标的的配件业务与自身的新机销售渠道捆绑，让客户可以“买新机、修旧机、买配件”一站式完成。同时，上市公司利用自身的研发能力对标的产品进行了降本优化，将核心零部件的采购成本降低了近10%，直接提升了标的产品的毛利率。在系统整合方面，上市公司投入约200万元进行IT系统对接，实现订单、库存和财务数据的实时同步，减少了手工操作错误。</w:t>
      </w:r>
    </w:p>
    <w:p>
      <w:pPr>
        <w:spacing w:line="240" w:lineRule="auto"/>
        <w:ind w:firstLine="560"/>
        <w:jc w:val="both"/>
      </w:pPr>
      <w:r>
        <w:rPr>
          <w:rFonts w:ascii="Times New Roman" w:hAnsi="Times New Roman" w:eastAsia="仿宋" w:cs="Times New Roman"/>
          <w:b w:val="0"/>
          <w:sz w:val="28"/>
        </w:rPr>
        <w:t>整合过程中，五新隧装特别注意避免“过度管理”。对于标的原有的成熟业务，仍由原管理团队主导运营，上市公司仅派驻财务总监和合规负责人，确保财务透明和合规性。而对于需要双方协同的新业务（如联合开发的新产品），则由上市公司委派项目经理，并定期汇报进展。这种“分模式管理”有效保留了标的的灵活性，同时发挥上市公司在资金、品牌和渠道上的优势。此外，上市公司每季度组织一次全员沟通会，由CEO亲自介绍整合进展和战略方向，以增强双方员工的归属感和认同感。</w:t>
      </w:r>
    </w:p>
    <w:p>
      <w:pPr>
        <w:spacing w:before="160" w:after="80"/>
        <w:ind w:firstLine="200"/>
      </w:pPr>
      <w:r>
        <w:rPr>
          <w:rFonts w:ascii="Times New Roman" w:hAnsi="Times New Roman" w:eastAsia="仿宋" w:cs="Times New Roman"/>
          <w:b/>
          <w:sz w:val="28"/>
        </w:rPr>
        <w:t>五、价值释放的验证点：主营结构优化与后市场营收增长是并购成败的关键指标</w:t>
      </w:r>
    </w:p>
    <w:p>
      <w:pPr>
        <w:spacing w:line="240" w:lineRule="auto"/>
        <w:ind w:firstLine="560"/>
        <w:jc w:val="both"/>
      </w:pPr>
      <w:r>
        <w:rPr>
          <w:rFonts w:ascii="Times New Roman" w:hAnsi="Times New Roman" w:eastAsia="仿宋" w:cs="Times New Roman"/>
          <w:b w:val="0"/>
          <w:sz w:val="28"/>
        </w:rPr>
        <w:t>并购是否真正创造价值，最终体现在上市公司的主业结构优化和盈利增长上。五新隧装收购标的后的财务表现提供了正面印证：根据后续公告，重组后公司的主营业务结构从单一的隧道施工新机销售，扩展为新机销售与后市场服务并重。后市场营收占比从收购前的约10%提升至收购后的约25%，且该板块毛利率较新机销售高出约8个百分点，有效改善了公司的整体盈利能力。从利润角度看，标的在交割后第一年实现净利润约3200万元，略超承诺的3000万元，协同效应初步显现。</w:t>
      </w:r>
    </w:p>
    <w:p>
      <w:pPr>
        <w:spacing w:line="240" w:lineRule="auto"/>
        <w:ind w:firstLine="560"/>
        <w:jc w:val="both"/>
      </w:pPr>
      <w:r>
        <w:rPr>
          <w:rFonts w:ascii="Times New Roman" w:hAnsi="Times New Roman" w:eastAsia="仿宋" w:cs="Times New Roman"/>
          <w:b w:val="0"/>
          <w:sz w:val="28"/>
        </w:rPr>
        <w:t>对于上市公司董事会而言，应设立明确的并购后评估指标体系，包括：标的收入增长率、协同收入占比、客户保留率、核心技术人员流失率、整合成本与实际节省等。五新隧装在每个季度向投资者披露这些指标，一方面倒逼管理层对整合持续投入，另一方面也让市场看到并购的实际价值。如果并购后18个月内，标的的客户保留率低于80%或利润承诺达成率低于90%，则需启动纠偏机制。具体而言，纠偏机制包括：更换标的负责人、调整激励方案、或者重新评估资产价值并考虑资产处置。</w:t>
      </w:r>
    </w:p>
    <w:p>
      <w:pPr>
        <w:spacing w:line="240" w:lineRule="auto"/>
        <w:ind w:firstLine="560"/>
        <w:jc w:val="both"/>
      </w:pPr>
      <w:r>
        <w:rPr>
          <w:rFonts w:ascii="Times New Roman" w:hAnsi="Times New Roman" w:eastAsia="仿宋" w:cs="Times New Roman"/>
          <w:b w:val="0"/>
          <w:sz w:val="28"/>
        </w:rPr>
        <w:t>并购从来不是终点，而是持续价值创造的新起点。五新隧装的经验表明，只有在并购前深入验证标的的系统工程能力、交易结构锁定核心假设、交割前解决客户与人才风险、交割后严格执行分阶段整合，并持续跟踪价值释放指标，才能真正实现“1+1＞2”的效果。对正在筹划同类并购的上市公司来说，这一案例中的每一个环节都具有直接的可借鉴性。从更宏观的角度看，在A股并购重组加速的背景下，五新隧装案为产业整合提供了可复制的范本：依托上市平台，通过横向并购实现产品线互补和客户渗透，最终提升整体竞争力和股东回报。</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