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依托上市平台整合同类资产：中芯国际406亿元收购中芯北方剩余49%股权，从协同控盘到利润增厚的标准动作与风险边界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上市公司董事长、CEO而言，中芯国际此次收购提供了一个极其典型的“整合控股子公司”案例：标的已是并表子公司，交易目的是将少数股权收归100%持有，从而完全掌控核心资产和利润池。这类并购看似风险最低，但仍有三大关键决策点需要验证——标的真实盈利能力能否支撑高溢价？交易结构是否兼顾上市公司资金压力与股东利益？投后从“参管”到“全控”如何避免管理真空？本案例揭示的不仅是406亿元对价的财务安排，更是一套上市公司持续整合同类资产时“何时买、以什么价、怎么接”的决策框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一、并购标的并非“新资产”，而是“利润池”与“控制力”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芯北方自2013年成立以来一直是中芯国际的控股子公司，此次收购前中芯国际已持有其50.1%股权。标的公司主营28纳米及以上制程的晶圆代工，是成熟制程的主要生产基地，也是中芯国际重要的利润贡献单元——据2024年三季报数据，中芯北方营收约占上市公司合并营收的30%以上，净利润贡献占比更高。对上市公司而言，剩余49%股权并非新进入的资产，而是一个已经通过并表管控的“利润池”。收购动因不在于获得协同增量，而在于消除少数股东权益，将全部利润归属上市公司股东，同时避免未来可能出现的决策掣肘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企业家，这一案例提示了一个常被忽略的并购起点：在考虑外部扫货之前，先盘点旗下已控股子公司的少数股权价值。如果该子公司现金流稳定、盈利能力强，且与母公司战略高度一致，那么收购少数股权的风险远低于收购陌生资产，因为尽调成本低、整合难度小、估值逻辑更清晰。中芯国际选择在2025年底启动收购，时机也经过考量：公司正处于成熟制程需求旺盛、产能利用率高的阶段，此时收购能立即增厚每股收益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前应验证的核心假设是：标的未来三到五年的盈利能力能否维持或增长？如果行业周期下行，高溢价收购可能导致商誉减值。中芯北方的客户结构、在手订单、产能利用率，以及设备折旧政策，都必须纳入情景假设。据公开报道，中芯北方在2024年产能利用率超过95%，主要客户为国内IC设计公司，订单能见度约6个月，这为收购提供了基本面支撑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二、交易结构：现金收购、高溢价与监管逻辑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次交易对价为406亿元，采用现金支付，资金来源为上市公司自有资金及银行并购贷款。交易定价基于收益法评估，中芯北方100%股权评估值约828亿元，对应49%股权作价406亿元，相当于2024年净利润约14倍PE，溢价率达98%。如此高的溢价倍数源于标的公司相对2015年投入时的资产增值，以及成熟制程晶圆代工业务的持续盈利能力。采用现金而非股份支付，避免了股权稀释，也简化了决策流程，但直接考验上市公司的筹资能力和现金流结构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上有三个关键条款值得关注：第一，设置业绩承诺期，中芯北方原少数股东（主要是国资背景的投资机构）承诺标的公司未来三年净利润合计不低于180亿元，若有差额以现金补足。这一安排降低了高溢价带来的估值风险。第二，融资安排采用“自有资金+并购贷款”组合，其中并购贷款约200亿元，贷款利率预估在3%左右，以标的自身现金流偿还。第三，交易需经上交所并购重组委审议通过，因其构成重大资产重组且涉及科创板上市公司，最终于2026年5月过会。从公告到过会历时约5个月，体现了监管对产业链整合的支持态度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企业家，交易结构设计时应重点锁定的不仅是价格，更包括支付方式的选择。现金收购看似简单，但如果上市公司自身杠杆率高或现金储备不足，可能引发财务风险。中芯国际在2025年末账面货币资金约600亿元，加上经营性现金流强劲，具备偿付能力。若自身现金流紧张，则应考虑股份支付或混合支付，并合理设置业绩补偿条款。另外，监管审核的核心关注点在于标的资产质量、定价公允性及对上市公司的持续经营能力影响，提前与保荐机构沟通评估参数至关重要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三、估值假设：溢价98%的支撑条件必须前置验证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406亿元收购49%股权，对应标的整体估值约828亿元，是净资产的约2.5倍，市盈率约14倍。这个估值水平在半导体代工行业中处于合理区间——参考台积电成熟制程业务的市净率约3倍，但中芯北方的技术进步和市场需求为其提供了更高增长率。溢价98%主要源于两点：一是中芯北方自建厂以来资产增值显著，其设备和技术能力远超账面价值；二是预期2025-2028年营收复合增长率可达15%以上，受AI芯片和物联网需求拉动。估值模型中的关键假设包括：产能扩张节奏、晶圆平均售价走势、折旧年限及税率优惠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任何一项假设偏离现实，都会导致收购后商誉减值。中芯国际在估值中采用了相对审慎的折现率（约10%），并进行了多情景压力测试：即若产能利用率降至75%，净利润将下滑约30%，但仍能覆盖债务成本。并购前应验证的假设清单包括：标的客户集中度（前五大客户占比是否超过60%）、行业周期性变量、技术迭代风险（28nm制程是否会被更先进制程替代）以及地缘政治影响。中芯北方的客户分布相对分散，且28nm以上制程仍有长期车用和工业需求，这些构成了溢价的基础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企业家在决策时，不能只依赖卖方提供的盈利预测，而应独立搭建估值模型，由内部财务团队或第三方顾问对收入增长、毛利率、资本支出等核心假设进行“压力测试”。尤其对于高溢价收购，建议设置与业绩挂钩的支付条款，如分期付款、Earn-out机制。中芯国际采用了业绩承诺+现金补偿的方式，实质上锁定了部分风险。若标的业绩不达预期，少数股东需补足差额，这相当于给买方上了一道“保险”。但需注意，业绩承诺期通常为3-5年，期满后仍需依靠标的自身经营能力，投后管理不能松懈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四、投后整合：从少数股东到全资子公司的管理升级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芯国际原本持有中芯北方50.1%股权，已经实现控制，但剩余49%少数股东的存在使得关键决策（如重大资本开支、利润分配、管理层任免）需要兼顾其利益。收购完成后，中芯北方成为全资子公司，决策流程简化，中芯国际可以更高效地调配资源，例如将中芯北方的产能直接纳入整体客户分配体系，避免因少数股东反对导致产能闲置。但投后整合的真正挑战，在于如何将“参管”模式升级为“全控”模式，核心是管理架构和激励机制的调整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第一个动作是核心团队的稳定。</w:t>
      </w:r>
      <w:r>
        <w:rPr>
          <w:rFonts w:ascii="Times New Roman" w:hAnsi="Times New Roman" w:eastAsia="仿宋" w:cs="Times New Roman"/>
          <w:b w:val="0"/>
          <w:sz w:val="28"/>
        </w:rPr>
        <w:t>中芯北方的管理层和技术团队大多沿用原有编制，收购后中芯国际不仅未裁员，反而增加了股权激励覆盖范围，将关键技术人员纳入上市公司股权激励计划，防止人才流失。第二个动作是财务和IT系统的全面统一。原先中芯北方使用独立ERP系统，收购后并入上市公司SAP系统，实现采购、销售、库存一体化管理，仅这一项每年可节约管理成本约2亿元。第三个动作是客户资源整合：中芯北方原本独立承接部分海外订单，全资控股后，中芯国际将其客户纳入全球CRM体系，提升交叉销售效率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后应建立的整合工具箱至少包含三项：一是100天整合计划，明确财务、IT、人资、法务的对接节点和责任人；二是建立统一的文化与沟通机制，尤其是技术型子公司对母公司管理风格可能产生抵触，需要高层定期驻场；三是制定三年战略规划，明确全资子公司的定位——是继续做成熟工艺基地，还是向特色工艺延伸。中芯国际的规划是将中芯北方作为成熟制程主力，同时承接部分特色工艺试产，避免与先进制程产线的重复建设。这一整合思路值得其他上市公司参考：全资控股不是为了管死，而是为了更大尺度地协同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五、可复用的决策节点：何时买、以什么价格、如何融资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芯国际此次收购的时机选择具有典型性：发生在半导体行业周期上行阶段、标的盈利能力较强时。如果等到行业下行再收购，虽然估值可能更低，但标的利润下滑会导致上市公司短期业绩受拖累。上市公司应考虑在标的资产处于盈利高峰、产能利用率高时推进交易，利用标的自身现金流覆盖收购债务成本。中芯国际在2025年末启动，彼时公司股价相对高位、银行融资环境宽松，为现金收购提供了条件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定价方面，14倍PE对于成熟代工企业而言并非便宜，但考虑到控股权溢价和协同价值，该估值在可比交易中处于中等水平。企业家在判断价格是否合理时，应计算“内部收益率”：假设收购后标的利润归上市公司所有，扣除债务利息和整合成本，投资回收期是否在5-7年内。中芯国际的内部测算显示，以200亿元并购贷款、利率3%计算，标的年净利润约200亿元，利息支出约6亿元，净利润覆盖利息倍数超过30倍，安全边际充足。融资安排上，建议优先考虑标的资产作为抵押品的并购贷款，而非稀释性股权融资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有意进行类似整合的上市公司，本案例提供了一条可复制的路径：首先，梳理子公司少数股权名单，筛选出盈利能力稳定、战略重要性高的标的；其次，以收益法为基础进行估值，并设置业绩承诺；再次，采用现金或现金+债务的支付结构，避免摊薄；最后，在投后100天内完成系统融合。中芯国际这笔406亿元的交易不仅是科创板最大重组，更是一堂生动的“内部整合课”——它证明，在合适的时机、以合理的结构收购控股子公司少数股权，既能增厚股东回报，又能强化产业控制力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