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全现金吞并行业第三：美丽田园12.5亿收购思妍丽的多品牌整合逻辑与投后管理陷阱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于上市公司董事长、CEO而言，美丽田园以12.5亿元全资收购思妍丽这一2025年中国美业最大并购案，揭示了一个核心命题：当上市平台通过连续收购整合同类资产时，并购前必须验证标的的客户定位与区域互补性，交易结构需避免为短期业绩对赌支付过高溢价，交割后的多品牌协同更考验会员体系打通与人才留存能力。本案中，美丽田园此前已收购行业第二，此次将行业第三纳入麾下，三家品牌在高端美容市场形成差异化覆盖，但门店重叠、用户迁移和管理层融合等风险同样显著。本案例从标的筛选、交易作价、融资安排、投后承接四个维度展开，为企业家提供可操作的决策参考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一、并购前必须验证客户重叠度与品牌生命力，否则多品牌协同只是愿景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美丽田园与思妍丽均为高端美容连锁品牌，但门店布局与核心客群存在微妙差异。美丽田园起家于华东，思妍丽则在上海、北京等一线城市拥有较强品牌认知，门店总数约100家。此前美丽田园已收购行业第二，此次收购后三个品牌合计门店数超过300家，但在上海、北京等核心商圈必然出现部分门店距离过近的问题。并购前，美丽田园应逐城市分析两家品牌的门店辐射半径，若两者在同一商场或街区开设直营店，则必须提前制定品牌分层策略——例如将美丽田园定位于抗衰科技，思妍丽专注于高端SPA，避免同一会员被重复营销。高端美容客单价在5000-20000元之间，客户对服务差异敏感度极高，简单合并无法产生协同，反而导致老会员流失。因此，CEO在尽职调查中应要求标的企业提供详细的客户画像数据，包括消费频次、项目偏好、到店距离等，以此判断整合后的补集效应是否大于重叠消耗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另一个关键验证点是思妍丽品牌老化问题。思妍丽成立于1998年，品牌历史超过25年，其核心客户年龄偏大（40岁以上），而美丽田园更侧重年轻高净值女性。并购前，美丽田园应评估思妍丽品牌在35岁以下客群中的认知度，若存在显著断层，则需预留品牌升级预算。据新闻报道，思妍丽近年也在尝试年轻化转型，但效果未知。CEO需在尽调中访谈思妍丽前20大城市门店经理，了解实际到店客户的年龄结构变化趋势，不能仅依赖总部提供的综合数据。只有确认标的品牌尚有生命力，整合后多品牌组合才能覆盖全年龄层，否则只是买下了一个即将下滑的资产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美丽田园在收购前已通过IPO募资约10亿港元，2025年中报显示账上现金充裕，这为其全现金收购提供了基础。但现金收购也意味着买方完全承担标的未来风险，没有对赌条款的缓冲。如果思妍丽在交割后营收下滑，美丽田园将直接承受商誉减值压力。公告显示，本次收购未设置业绩承诺，这与行业通常做法不同。并购前，美丽田园必定评估过思妍丽的经营现金流与净利润稳定性——据推算，思妍丽年营收规模约5-8亿元，净利润率约10%-15%，交易对价12.5亿元对应约15-20倍PE，在高端服务行业中属于合理范围。但若未来消费疲软导致客流量下降，这一估值逻辑可能失效。因此，并购前必须对标的的存量会员复购率、新客获取成本进行逐一验证，并建立财务模型敏感性分析，确认即使在悲观情景下，标的仍能维持正向现金流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二、全现金交易结构必须锁定门店租约与核心人才，否则资产价值打折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美丽田园本次收购采用全现金支付，资金来源包括IPO剩余募资、自有资金及部分银行贷款，未涉及股份支付。这样做的好处是原股东权益不被稀释，且交易流程简洁快速。但硬币的另一面是，卖方无法通过持股分享整合收益，因此更倾向于交割后迅速套现离场，这加大了人才流失风险。对于高端美容这类强依赖技师和店长的行业，必须设计员工留存条款。据资料，美丽田园在协议中要求思妍丽核心管理层留任至少两年，并设置了竞业限制。然而，实际执行中若缺乏股权激励，核心人员可能消极怠工。并购前，买方应评估思妍丽门店店长的平均服务年限与离职率，如果超过20%的店长服务期不足一年，则定价时应打折扣。此外，美容行业门店租约是核心资产，思妍丽许多门店位于核心商圈，租约到期时间应逐一核查。若部分门店租约仅剩一年且租金上涨，则估值应相应下调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支付节奏上，多数现金收购会采用分阶段付款：签约后支付50%，交割后支付30%，剩余20%在交割后12个月或达到某些条件后支付。美丽田园公告未披露具体分期安排，但合理的结构是部分款项与思妍丽客户留存率或营收目标挂钩。例如，若交割后第一年思妍丽会员流失率超过15%，则扣减部分尾款。这种设计能倒逼卖方在过渡期配合整合。CEO在设计交易条款时，应优先考虑将交易对价的20%-30%设置为“或有支付”，并定义清晰的可量化指标——如门店数、活跃会员数、平均客单价等。此外，还需明确思妍丽品牌所有权归属：若未来美丽田园计划将思妍丽门店翻牌为自有品牌，则商标转让条款必须无附加条件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融资方面，美丽田园通过银行借款补充了部分现金，但未过度加杠杆。截至2025年中报，其资产负债率约35%，收购后预计上升至45%左右，仍在安全范围内。但CEO需注意：若标的资产未来盈利能力不及预期，利息支出将侵蚀净利润。因此，并购前应准备多种融资方案，比如引入并购基金作为共同买家，或者发行可转债，而不是全部依赖债务。本案中，美丽田园因有IPO募资基础，选择了最直接的方式，但对于现金储备不足的上市公司，应避免全现金收购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三、估值假设必须经受压力测试：12.5亿对应15-20倍PE，但营收增速一旦失速，商誉减值将吞噬利润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美丽田园支付12.5亿元，按思妍丽约8000万元净利润估算，静态PE约15.6倍；若按1亿元净利润估算，则PE为12.5倍。这一估值在高端美容行业中属于中等水平——美丽田园自身PE约25倍，收购同行业标的可实现一定套利。但估值的关键假设是思妍丽未来三年营收年均增长5%-10%，且美容行业整体保持两位数增长。如果宏观经济下行导致高端消费收缩，思妍丽门店客流可能下降10%以上，届时净利润可能降至6000万元，PE将升至20倍以上，收购的协同效应就无法覆盖商誉风险。因此，并购前必须用不同情景测试：乐观（增长15%）、基准（增长5%）、悲观（-5%），并计算商誉减值对合并报表净利润的影响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此外，思妍丽存在约2亿元长期负债（据推测），虽然美丽田园承担了债务，但债务条款中的利率和还款期限可能限制整合期的现金流。尽调中应要求标的企业提供所有借款合同，检查是否存在交叉违约条款或控制权变更触发提前还款的条款。如果存在，则美丽田园需准备资金用于还款，这会影响交易实际成本。另外，估值中应包括整合成本——门店装修统一、信息系统升级、员工培训等，这些一次性支出可能达交易对价的10%-15%，即1.2-1.8亿元。CEO在董事会汇报时应明确：总并购成本不应仅看交易对价，而应加总整合投入，否则后续业绩不达标时，股东会质疑决策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值得借鉴的是，美丽田园选择在上市后不到两年内连续收购，意图通过规模效应降低采购成本和引流成本。但历史数据显示，多品牌零售整合的成功率不足30%。CEO必须自己想一想：如果整合后思妍丽品牌营收持平甚至下降，美丽田园整体能维持增长吗？据公告，美丽田园2025年营收目标40亿元，若思妍丽贡献8亿元，占比20%，一旦思妍丽下滑，将拖累整体数据。因此，估值假设中最脆弱的一环是“协同效应时间表”——通常需要12-18个月才能显现，而在此期间，标的可能脱轨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四、投后整合成败在于会员系统打通与技师培训体系统一，而非简单更换门头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美容行业的核心资产是会员关系，而非门店硬件。美丽田园旗下品牌各自拥有独立会员系统，思妍丽的会员等级、积分规则、护理项目均不同。交割后，必须建立统一的中台系统，实现会员权益跨品牌通用，否则高价值会员会因为无法积分迁移而流失。据行业经验，整合期前6个月会员流失率可能高达20%-30%。美丽田园应在交割前就启动IT对接，制定“会员迁移过渡期”——例如给予思妍丽会员双倍积分或免费项目升级，鼓励其尝试美丽田园服务。同时，要保留思妍丽的品牌调性，不能强制所有门店改名，因为高端客户对品牌有忠诚情感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技师和店长是美容院的灵魂。思妍丽全国门店约100家，每家店平均8-15名美容师，总数约1000-1500人。这些技师往往按服务时长提成，若整合后调整提成比例，可能引发离职潮。美丽田园需要设计“双重奖金”方案：一是保留思妍丽原有提成结构不变，二是新增跨品牌推荐奖励——例如思妍丽技师成功推荐客户购买美丽田园项目，可获得额外佣金。同时，统一培训体系，将思妍丽的特色手法（如皮肤管理）复制到美丽田园门店，反之亦然。但培训需要时间，不能一蹴而就。CEO在投后管理上应设置3-6个月的“过渡委员会”，由双方高管共同组成，每周开会跟踪会员转化率、技师留存率、门店营收等指标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供应链整合能快速降低成本。美丽田园和思妍丽都采购各类美容仪器、护肤品和耗材。集中采购后，估计可降低采购成本10%-15%。但需注意，思妍丽可能使用一些独家代理的品牌，合约到期前不能更换。尽调中应梳理思妍丽的采购合同，明确哪些品牌有排他协议。交割后，美丽田园可以统一谈判，削减供应商数量。另外，门店网络优化也是一个价值点：关闭重叠门店或将其转换为不同品牌，从而降低租金成本。但关闭门店意味着一次性损失装修和会员，必须谨慎。美丽田园可以学习连锁零售的做法：在同一个商圈，将两个品牌门店整合为一个大型旗舰店，提供两种服务线，但共用接待区和后台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五、连续并购管理层的整合能力上限决定成败：须设立专职整合部门并监控关键指标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美丽田园收购思妍丽的案例，可总结出三条对于上市公司CEO具有直接操作价值的经验。第一，并购前必须验证标的的客户重叠度与品牌生命力。具体操作：派出尽调团队以神秘顾客身份体验双方门店服务，收集200份以上会员问卷，了解跨品牌消费意愿；同时统计双方会员手机号，通过第三方数据匹配，测算交叉用户比例。如果重叠度超过20%，则需要重新评估协同效应或改变交易结构。第二，交易条款中应设置“过渡期保护条款”。例如，要求卖方在交割后12个月内保证核心员工留任率不低于80%，并预留10%-20%对价款作为留任保证金；同时，标的公司应收账款回款情况应作为付款条件之一，避免交割后出现大量坏账。第三，交割后应建立“90天整合计划”，从第一天起就锁定整合目标。具体包括：前30天完成IT系统对接，实现会员数据共享；第30-60天完成核心门店教练培训，统一服务标准；第60-90天推出联合营销活动，监测会员激活率。每两周向董事会报告整合进度，关键指标包括：员工流失率、老会员复购率、新客获取成本、门店营收同比变化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关于商誉管理，建议CEO在交易完成后立即进行商誉减值测试的基线设定。将思妍丽资产包分为可辨认的无形资产（如品牌、会员关系、租赁合同）和商誉，在合并报表中尽量将商誉做小，以减轻未来减值压力。例如，将思妍丽品牌以公允价值单独确认，并逐年摊销。美丽田园在本次收购中预计将产生商誉约8-10亿元，未来若思妍丽业绩不达标，将面临巨额减值。因此，CEO应敦促财务团队在收购后2年内完成至少一次商誉减值测试，并准备应对方案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最后，提醒企业家注意：连续并购容易导致管理层过度乐观，从而忽略标的内在问题。美丽田园在收购行业第二后，本次收购行业第三，看似巩固龙头地位，但整合负担成倍增加。CEO必须确保投后管理团队有足够精力，不能依赖原有管理团队一人管多店。应设立专职的“并购整合部”，成员包括运营、HR、IT、财务等核心人员，且直接向董事长汇报。只有将整合上升到战略高度，才能避免“买入即亏损”的困境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