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 w:cs="Times New Roman"/>
          <w:b w:val="0"/>
          <w:sz w:val="30"/>
        </w:rPr>
        <w:t>四年拉锯、估值腰斩再腰斩：海汽集团关联并购方案为何反复变卦？——定价博弈、监管问询与交易结构动态设计的启示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对上市公司董事长与CEO而言，海汽集团（股票代码：603069）这笔关联并购最值得关注的并非交易本身成败，而是方案在四年内反复调整、标的估值缩水逾六成所折射出的并购前置条件脆弱性。当买方的资产是关联方、交易意图是整合同类资产时，定价锚点、业绩承诺、支付方式以及监管容忍度都可能随内外部条件剧变而失效。本案例揭示了并购前必须验证的三大假设：标的未来盈利能力是否经得起行业下行压力？关联交易定价能否通过公允性测试？交易结构是否有充足弹性应对政策与市场突变？这些问题的答案，决定了四年博弈是成功收官还是无果而终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一、四年拉锯始末：从高估值到割肉式调整的交易剧本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海汽集团于2022年首次披露拟收购关联方持有的某同类资产（以下简称“标的资产”），初始方案采用“股份+现金”支付，交易对价基于标的未来三年净利润预测，市盈率约15倍，总额约12亿元。此后四年间，方案历经四次重大修订：2023年因标的业绩未达预期，对价下调至9亿元，支付改为全现金；2024年再因行业竞争加剧、营收下滑，对价降至7亿元，并增加业绩补偿条款；2025年第三次修订时，标的估值已缩水至约4.5亿元，支付方式恢复为部分股份锁定期安排；2026年最终方案定格在约4亿元，仅为初始估值的33%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这一调整轨迹的背后是标的自身造血能力持续弱化：公开信息显示，标的资产核心业务（客运线路及场站运营）受高铁网络扩张、网约车分流冲击，客流量年均下降8%-10%，净利润从2021年的约8000万元跌至2025年的不足2000万元。海汽集团作为上市公司，既要遵守关联交易定价公允性要求，又需平衡中小股东利益，导致谈判周期不断延长。值得注意的是，每次修订均伴随着监管问询函的密集发出，上海证券交易所曾就估值方法、业绩预测依据、关联方资金占用等提出数十个问题，迫使交易双方反复补充说明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对CEO而言，四年拉锯的首要教训是：关联并购的“时间成本”远超预期。标的资产与上市公司同属一个实际控制人，本应具有更高的协同效率，但恰恰因为关联关系，定价博弈反而更加复杂——买方既要压低价格保护上市公司利益，又不能损害关联方利益，导致每轮调整都需在监管和内部层层审批中缓慢推进。并购前应预判：若标的所处行业面临结构性衰退，估值假设的保质期可能不足一年，交易结构必须嵌入快速调整机制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二、估值缩水六成的根源：核心经营假设的相继塌陷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海汽集团最初对标的资产的估值建立在三个关键假设上：一是区域客运流量保持稳定，二是场站商业开发能贡献增量收入，三是政策对道路运输的补贴持续存在。然而，三年间高铁新线开通导致长途客流分流超过30%，场站商铺空置率升至40%，地方财政收缩使补贴实际到位率不足60%。这三个假设的相继失效，直接导致标的营收预测从初始的3.5亿元降至2025年的2.1亿元，净利润从0.8亿元转负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估值方法也从收益法被迫转向资产基础法。初期采用收益法时，折现率设定为10%，永续增长率3%；随着风险暴露，折现率上调至13%，永续增长率降至0%，最终资产基础法测算净资产仅约3.8亿元。这一过程清晰表明：对于重资产型且处于转型期的标的，收益法下的未来现金流预测极易被高估。买方在尽调中应主动挑战“乐观假设”，要求标的提供至少三年以上的历史数据验证增长率，并模拟行业下行20%时的压力测试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更深刻的教训在于关联并购的“信息对称假象”。海汽集团与标的同属一个实际控制人，理论上尽调更充分，但实际中关联方倾向于隐瞒不利信息（如合同违约、资产减值等）。海汽历次调整估值时，都爆出此前未披露的负债或诉讼。并购前应建立独立尽调团队，并由第三方审计机构对标的财务状况进行穿透核查，尤其关注关联交易、应收账款回收期和固定资产真实成新率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三、交易结构设计的“弹性”是成败关键：支付方式、对赌与调整机制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海汽案例中，支付方式经历了从“股份+现金”到全现金、再回到股份加锁定的多次切换，这反映了关联并购中支付工具的选择不仅是融资安排，更是风险分配手段。初期采用股份支付可以绑定标的原股东（即关联方）的持续利益，但股价波动导致对价不稳定；后期改为现金支付，虽能快速完成交易，但上市公司需承担大额资金压力，且无法通过业绩对赌约束关联方。最终方案采用“部分现金+锁定期股份”，并将业绩承诺与股份解锁挂钩，相当于设置了一个动态调整的“价格保护”机制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业绩补偿条款同样经历了从“三年累积”到“逐年考核”的演变。初始方案中，若标的未完成累积利润，补偿上限仅为交易对价的30%；后因监管要求，改为逐年考核且补偿覆盖全部差额，并引入资产减值测试补偿。这一变化显著增强了中小股东保护，但也导致关联方谈判抵触，延长了交易周期。对于上市公司而言，更优的设计是“双向调整”条款：不仅包含业绩未达标的补偿，还应设置超额完成的奖励，以激励标的团队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另一个关键结构问题是资金安排。海汽集团在现金支付方案下，需通过银行贷款、定增等方式筹集约5亿元，但定增审批周期与交易时间表冲突，导致多次方案反复。并购前应预先规划融资渠道，包括预留并购专项授信、与监管机构沟通定增窗口期，或引入财务投资人作为过桥资金。对于关联并购，尤其要避免融资依赖关联方借款，以免形成新的关联交易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四、监管问询的实质：如何证明关联交易定价的“公允性”？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四年间，海汽集团共收到交易所六轮问询，核心围绕三点：交易必要性（为何不直接置入资产？）、定价公允性（为何估值波动如此之大？）、关联方利益输送嫌疑。每一轮问询都要求提供更详尽的对比数据，包括同行业可比交易市盈率、标的资产历史评估结果、乃至论证“若不收购上市公司自行新建”的替代成本。这实际上在倒逼买方从“主观判断”转向“客观基准”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从海汽的应对经验看，定价公允性的最佳论证方式是引入独立财务顾问和评估机构，并用“二级市场可比公司估值+近期同行并购对价”双重验证。例如，海汽在对价降至4亿元时，引用了两家区域客运上市公司收购同类资产的交易倍数（约5-6倍PE），并说明标的资产因亏损预期采用了净资产折价，才获得监管认可。并购前应主动建立“价格区间”，明确底线和上限，并在交易文件中设置价格调整机制（如earnout），减少被动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关联交易还需特别关注“上市公司的独立性”。交易所曾质疑海汽集团董事会中关联董事是否回避表决，以及标的资产与上市公司是否存在人员、财务混同。解决方案是提前完成资产分离，包括解除交叉担保、清理共用账户、确保独立经营。此外，信息披露应做到“超前充分”，主动披露标的资产近三年主要客户、供应商及合同情况，避免被问询后补充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五、投后整合的“第四年”困局：时间拖得越长，协同价值越难实现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即便交易最终完成，四年的拉锯战已对整合造成不可逆的损害。标的资产的管理层在等待期间流失严重——据公开信息，标的核心运营团队离职率超过50%，关键线路负责人跳槽至竞争对手。海汽集团原计划通过采购协同降低10%的运维成本，但标的资产在谈判期间为压缩费用已撤裁部分岗位，导致协同基础瓦解。对于上市公司而言，并购后整合应当“快刀斩乱麻”，但方案反复变卦给了标的团队不被收购的预期，产生抵制情绪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投后整合机制必须在交易前设计明确。海汽在方案中增加了“管理层留任激励”条款，但力度不足以抵消不确定性。更可行的做法是：在首次公告时就公布清晰的整合计划，包括组织架构调整、人员安置方案、IT系统对接时间表，并以“里程碑薪资”锁定关键人才。对于关联并购，还需处理实际控制人对两家公司运营权的平衡——是否能将标的资产完全并入上市公司管理体系？否则，关联采购、销售冲突将持续存在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最后，整合估值的基础——业务协同假设——必须经得起检验。海汽收购标的原计划通过共享场站、联合采购、线路优化增厚利润，但四年间市场环境变化已使许多协同机会消失。并购前应进行“协同压力测试”：若行业持续下行，协同能否覆盖标的自身亏损？评估时不应只算加法，更要算减法——如果标的单独生存都困难，合并只会拖累上市公司。海汽案例最根本的启示或许是：当一个资产需要长达四年才能完成交易，这个资产本身可能已经不适宜收购了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ind w:firstLine="560"/>
      <w:jc w:val="both"/>
    </w:pPr>
    <w:rPr>
      <w:rFonts w:ascii="Times New Roman" w:hAnsi="Times New Roman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