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并购不是加速度，而是整合能力：华润三九持续收购中药OTC资产的得与失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上市公司董事长和CEO在考虑通过并购实现增长时，最常问的是三个问题：该买什么样的资产？如何设计交易让自己不亏？交割后怎么管才能兑现价值？华润三九的案例给出了系统性答案。自2008年上市以来，华润三九以华润医药旗下OTC及中药平台为定位，持续收购包括昆中药、天和药业、顺峰药业、众益制药、圣火药业、澳诺制药、恒生药业等在内的十余家中药及OTC企业，累计交易金额超过130亿元，形成覆盖感冒、心脑血管、骨科、儿科、妇科等品类的产品矩阵。2022年其CHC（消费者健康）业务收入突破100亿元，但商誉也从上市初的不足5亿元攀升至近50亿元。这一过程既展示了持续并购如何构建竞争壁垒，也暴露了整合风险。本文从战略聚焦、标的筛选、交易结构、投后整合及风险控制五个维度拆解其经验，旨在为同样身处产业整合进程中的决策者提供可操作的决策框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一、战略聚焦：以OTC和中药为核心，构建品牌与渠道的双重壁垒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并购并非盲目扩张，而是有清晰的战略边界。其母公司华润医药在2010年前后确立了以OTC和中药为特色的定位，将华润三九作为品牌与渠道的核心平台。这一战略聚焦避免了分散资源，也让每一次并购成为补强而非偏离。例如，华润三九在2012年收购广东顺峰药业的顺峰康王品牌，强化了皮肤科OTC品类；2015年收购浙江众益制药的抗生素及中成药品种，补充了儿科和呼吸产品线；2017年以15.67亿元收购圣火药业的理洫王牌血塞通软胶囊，切入心脑血管领域。这些标的无一例外都具备成熟的OTC品牌和稳定的终端覆盖能力，与华润三九现有的渠道网络形成协同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而言，战略聚焦的核心在于回答“我们是谁、我们不买什么”。华润三九明确不收购没有品牌基础的仿制药原料药资产，也不涉足创新药研发类企业，因为其优势在于品牌运营和流通渠道，而非高风险研发。这一原则确保了每一笔并购都能被现有的管理能力承接。CEO在制定并购战略时应先评估自身组织能力的边界：如果无法有效整合渠道、品牌和供应链，那么即便标的财务健康，也可能沦为负资产。华润三九的案例表明，当战略聚焦于“同一客群、同一渠道、同一品牌逻辑”时，并购的规模效应最显著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数据支撑了这一判断。据公开资料，华润三九的CHC业务收入从2016年的约75亿元增至2022年的超100亿元，其中外延并购贡献了约40%的增长。而同期其营收复合增长率约为12%，行业平均约为6%至8%。并购并未拖累毛利率，反而通过规模采购和渠道复用使其毛利率保持在60%以上。这验证了战略聚焦在财务上的正向效果。董事长应问自己：我的平台是否有能力吸收同类型资产？如果答案不确定，则宁缺毋滥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二、标的筛选：成熟品牌、区域领先、可整合的渠道网络构成收购前提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标的筛选标准可归纳为三条：第一，标的企业拥有至少一个成熟的OTC品牌，且在某一区域或细分品类占据前三；第二，拥有稳定的终端经销网络，尤其在药店和基层医疗渠道；第三，管理团队具有整合意愿，或具备可被替代的组织架构。例如，2013年收购的天和药业拥有“天和骨通”等骨科贴膏品牌，在华南市场具备较强渗透力；2018年收购的澳诺制药主打葡萄糖酸钙锌口服溶液，在儿科OBM（自有品牌）领域有较高认知度。这些标的在收购后均在华润三九的渠道中实现了销售额翻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前应当验证的核心假设是：标的的品牌势能是否可以被放大？渠道是否可以低成本复用？华润三九通常在尽调中重点考察标的的经销商覆盖密度、终端动销数据和品牌认知度。一个典型反例是，华润三九在早期收购部分区域中小药企后，发现其品牌缺乏全国性认知，即使投入大量广告也难以短时间内突破区域壁垒，导致整合效果不及预期。因此，并购发起者应建立一套品牌估值模型，将品牌在不同市场的渗透率、复购率、竞品替代风险等纳入评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估值方面，华润三九对标的的市盈率倍数通常控制在10至15倍之间，远低于行业并购中常见的20至30倍。据公开资料，其收购圣火药业的交易对价对应2016年净利润约12倍；收购众益制药的对价对应约10倍。低倍数得益于标的本身多为家族企业或非上市企业，且谈判中华润三九往往用“品牌赋能+渠道支持”作为压价筹码。但低估值不等于低风险，一旦整合未达预期，商誉减值可能侵蚀利润。并购前需对标的的未来营收增长率做保守测算，并设定盈亏平衡的退出条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三、交易结构设计：现金为主分期付款，业绩对赌锁定核心变量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多数收购采用全现金支付，避免稀释控股股权。其资金来源包括自有资金、银行贷款及母公司财务支持。例如，2017年收购圣火药业时，华润三九以15.67亿元现金一次性支付，其中部分来自当年定增募资约13亿元。这种支付方式的好处是交易简单、不摊薄每股收益，但对现金流压力较大。据财报，华润三九的资产负债率从2013年的约30%上升至2023年的约40%，但仍处于可控范围。并购决策者应评估自身的加杠杆能力：如果经营性现金流无法覆盖新增利息和营运资本需求，则分步支付或引入并购贷款更为审慎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绩对赌条款在华润三九的并购中并非普遍采用，但在部分高风险收购中仍被使用。例如，收购众益制药时，原股东承诺2013至2015年净利润累计不低于约1.5亿元，未达标则以现金补偿。这种安排将交易对价的一部分与标的未来表现挂钩，降低了买方面临的信息不对称风险。但值得注意的是，对赌期通常只有三至五年，而整合往往需要更长时间。如果对赌期结束后整合尚未完成，标的业绩可能下滑。CEO在设计对赌时，应将目标设定为“市占率、渠道覆盖率”等战略指标而非仅财务指标，并延长对赌期至五年以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条件的设计同样关键。华润三九通常在签署协议时支付约10%至20%的定金，剩余款项在交割后一次性支付，但保留2至3年的尾款作为质保金。例如，收购顺峰药业时，尾款约定在交割后两年内分期支付，前提是标的维持关键管理岗位稳定和营收不下跌。这种结构促使卖家平稳过渡。并购前应验证标的的客户合同、核心人员竞业协议及知识产权归属，并将这些条款列为交割条件。如果发现标的的核心技术人员有离职意向，应提前锁定其留任奖励机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四、投后整合：品牌统一、渠道共享、组织同步是乘数效应的来源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投后整合以“品牌同化、渠道共用、管理输出”为主线。品牌层面，对于标的原有的成熟品牌，华润三九通常保留其名称和定位，仅在包装上增加“华润三九”标识，例如昆中药的“昆中药”品牌、圣火药业的“理洫王”品牌均未更换。对于无品牌价值的产品，则直接纳入“999”主品牌。渠道层面，华润三九将标的的产品导入自己覆盖的30万家以上药店及基层医疗机构网络，同时整合其经销商资源，实现SKU的交叉销售。据公告，收购圣火药业后，理洫王血塞通软胶囊在一年内进入了华润三九的约200家一级经销商网络，销售额同比增长超过30%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组织整合是难度最大的环节。华润三九通常向标的派驻财务总监和营销总监，原管理团队则保留负责运营。例如，收购天和药业后，核心创始人继续担任总经理，负责日常经营，而华润三九则通过董事会控制重大决策。这种“分而不离”的模式降低了人才流失风险。但也要警惕“两张皮”现象：如果双方企业文化差异过大，整合效率会大打折扣。华润三九曾在少数收购中因派驻人员缺乏中药行业经验，导致渠道调整失误，消费终端反馈下降。事后，华润三九建立了“文化融合小组”负责团队融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整合的落脚点最终体现在财务指标上。并购一年后，华润三九对标的通常设定营收增长15%至30%、利润增长10%至20%的考核目标。据公开资料，其2015年收购的众益制药在整合后三年内营收从约3亿元增至约5亿元，利润也从约0.5亿元增至约0.8亿元，复合增长率分别约18%和17%。但并非所有收购都成功：2014年收购的某中成药企业因品牌老化，即使投入大量营销费用，营收仍停滞不前，最终在2020年计提商誉减值约2亿元。这意味着CEO需要建立整合进度表，每季度复盘渠道渗透率、店员推荐率等先导指标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五、风险警示：商誉激增与整合节奏失控的代价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商誉从2010年的约2亿元激增至2023年的约48亿元，占净资产比例超过30%。虽然尚未出现大规模减值，但潜在风险不可忽视。据Wind数据，华润三九在2018年计提商誉减值约1.1亿元，主要来自收购的天源药业因政策变化导致核心产品退出医保。2020年疫情冲击下，部分OTC品种终端动销下滑，华润三九对两家标的计提减值约1.5亿元。这一数据警示：即使是被市场广泛认为“稳定”的中药OTC资产，也受医保政策、消费偏好变化影响。CEO在制定并购预算时，应为商誉减值预留安全垫，例如将每年并购对价的20%作为减值准备金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整合节奏过快也会引发风险。华润三九在2015至2017年间密集收购了6家企业，年均约2家。据公告，这些收购在同一时期完成，导致管理资源被稀释：总部派驻的财务人员需要同时负责多家标的，无法深入每家公司的运营细节。结果部分标的在交割后的第一年出现库存积压、应收账款周期延长等迹象。经验表明，上市公司每年并购数量不应超过自身管理能力的上限，一般建议每年不超过两起，且每起之间应间隔至少6个月用于消化前次整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并购后的债务压力可能挤压研发投入。华润三九的研发费用占营收比例长期不足3%，低于中药行业平均水平5%。尽管董事长声称“不打算做创新药研发”，但过度依赖并购获取新品可能造成产品线老化。CEO应平衡内生研发与外延并购：如果并购是主要增长引擎，则必须确保足够的研发投入以延长产品生命周期。否则，一旦标的品牌进入成熟期，整体增长将停滞。总而言之，华润三九的经验证明，持续并购整合是一条可行之路，但前提是战略聚焦、标的筛选、交易设计与投后能力形成闭环。每一步的失误都会被杠杆放大，而成功则来自于对细节的反复检验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