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创始人离世、估值缩水95%，物管企业2.69亿元抄底春雨医生：互联网医疗控股权并购的价值重估与投后整合启示</w:t>
      </w:r>
    </w:p>
    <w:p>
      <w:pPr>
        <w:spacing w:line="240" w:lineRule="auto"/>
        <w:ind w:firstLine="560"/>
        <w:jc w:val="both"/>
      </w:pPr>
      <w:r>
        <w:rPr>
          <w:rFonts w:ascii="Times New Roman" w:hAnsi="Times New Roman" w:eastAsia="仿宋" w:cs="Times New Roman"/>
          <w:b w:val="0"/>
          <w:sz w:val="28"/>
        </w:rPr>
        <w:t>2025年底，春雨医生以2.69亿元出让78.3%控股权，买方为港股上市的物管企业国锐生活。这家曾估值60亿元、拥有1.8亿注册用户的互联网医疗先驱，最终以不到原估值5%的价格易主。创始人在2016年离世后，公司由遗孀王羽潇接手，坚持九年仍未能独立上市或实现盈利，最终选择卖身。对于上市公司董事长和CEO而言，这一案例直观展示了并购前必须回答的三个问题：标的的真实价值在创始人缺失后如何重估？买方的产业背景与医疗资产之间是否存在可落地的协同？交易完成后，如何将拥有庞大用户但变现困难的互联网医疗资产内化为上市公司的增长引擎？以下从标的判断、交易结构设计、关键假设验证、投后承接四个维度展开分析。</w:t>
      </w:r>
    </w:p>
    <w:p>
      <w:pPr>
        <w:spacing w:before="160" w:after="80"/>
        <w:ind w:firstLine="200"/>
      </w:pPr>
      <w:r>
        <w:rPr>
          <w:rFonts w:ascii="Times New Roman" w:hAnsi="Times New Roman" w:eastAsia="仿宋" w:cs="Times New Roman"/>
          <w:b/>
          <w:sz w:val="28"/>
        </w:rPr>
        <w:t>一、标的评估易犯的错误：将历史融资估值等同于内在价值，忽略创始人依赖与商业化路径</w:t>
      </w:r>
    </w:p>
    <w:p>
      <w:pPr>
        <w:spacing w:line="240" w:lineRule="auto"/>
        <w:ind w:firstLine="560"/>
        <w:jc w:val="both"/>
      </w:pPr>
      <w:r>
        <w:rPr>
          <w:rFonts w:ascii="Times New Roman" w:hAnsi="Times New Roman" w:eastAsia="仿宋" w:cs="Times New Roman"/>
          <w:b w:val="0"/>
          <w:sz w:val="28"/>
        </w:rPr>
        <w:t>春雨医生成立于2011年，是国内最早一批移动问诊平台。在资本热潮中，公司先后完成多轮融资，2015年估值曾高达60亿元。然而，创始人张锐2016年突发心梗去世后，公司进入“代夫掌司”阶段。王羽潇出任CEO后，虽然维持了平台运营，但上市进程停滞，商业化探索始终未能突破。据公开资料，至交易前，春雨医生累计注册用户约1.8亿，但营收规模并未披露市场预期，且长期亏损。2017年曾尝试借壳上市未果，后来上市计划一再搁浅，期间也未能引入战略投资者实现独立IPO。</w:t>
      </w:r>
    </w:p>
    <w:p>
      <w:pPr>
        <w:spacing w:line="240" w:lineRule="auto"/>
        <w:ind w:firstLine="560"/>
        <w:jc w:val="both"/>
      </w:pPr>
      <w:r>
        <w:rPr>
          <w:rFonts w:ascii="Times New Roman" w:hAnsi="Times New Roman" w:eastAsia="仿宋" w:cs="Times New Roman"/>
          <w:b w:val="0"/>
          <w:sz w:val="28"/>
        </w:rPr>
        <w:t>对于并购方来说，标的的历史估值往往是干扰因素。互联网医疗公司的早期估值建立在“用户增长”和“想象空间”上，但并未验证可复制的盈利模式。当创始人离世、团队缺乏核心领导时，用户粘性和变现能力出现不确定性。买方在估值时应以可确认的营收、净利润、现金流为锚点，而非前轮融资价格。春雨医生在2025年的交易中，整体估值约3.44亿元（2.69亿元/78.3%），较峰值缩水超过95%，实质上是回归了其商业基本面——一个拥有品牌和用户池但尚未实现可持续盈利的运营实体。</w:t>
      </w:r>
    </w:p>
    <w:p>
      <w:pPr>
        <w:spacing w:line="240" w:lineRule="auto"/>
        <w:ind w:firstLine="560"/>
        <w:jc w:val="both"/>
      </w:pPr>
      <w:r>
        <w:rPr>
          <w:rFonts w:ascii="Times New Roman" w:hAnsi="Times New Roman" w:eastAsia="仿宋" w:cs="Times New Roman"/>
          <w:b w:val="0"/>
          <w:sz w:val="28"/>
        </w:rPr>
        <w:t>并购前需验证的核心假设包括：第一，平台是否具备自主获客能力，还是依赖创始人的品牌效应？春雨医生的用户基础能否转化为持续的付费问诊或药品销售？据第三方数据，春雨医生日均问诊量在创始人离世后明显下滑，从高峰期的数万次降至数千次，说明品牌光环褪色。第二，现有团队的运营能力是否能支撑独立经营？王羽潇虽然接手多年，但未能带领公司走向盈利，这提示买方需要评估管理层的专业性与战斗力，尤其是技术、产品、商务等关键岗位是否具备行业竞争力。第三，公司核心资产——医生资源、患者关系、数据积累——是否具有不可替代性？春雨医生累计签约约5万名医生，但头部医生留存率、问诊质量管控、数据合规等细节需要尽调。如果这些资产可以轻易被竞争对手模仿或替代，那么估值溢价就没有基础。</w:t>
      </w:r>
    </w:p>
    <w:p>
      <w:pPr>
        <w:spacing w:before="160" w:after="80"/>
        <w:ind w:firstLine="200"/>
      </w:pPr>
      <w:r>
        <w:rPr>
          <w:rFonts w:ascii="Times New Roman" w:hAnsi="Times New Roman" w:eastAsia="仿宋" w:cs="Times New Roman"/>
          <w:b/>
          <w:sz w:val="28"/>
        </w:rPr>
        <w:t>二、交易结构设计的底层逻辑：现金收购控股权，兼用留任条款平衡风险</w:t>
      </w:r>
    </w:p>
    <w:p>
      <w:pPr>
        <w:spacing w:line="240" w:lineRule="auto"/>
        <w:ind w:firstLine="560"/>
        <w:jc w:val="both"/>
      </w:pPr>
      <w:r>
        <w:rPr>
          <w:rFonts w:ascii="Times New Roman" w:hAnsi="Times New Roman" w:eastAsia="仿宋" w:cs="Times New Roman"/>
          <w:b w:val="0"/>
          <w:sz w:val="28"/>
        </w:rPr>
        <w:t>根据公开信息，国锐生活以2.69亿元现金收购春雨医生78.3%股权。交易方式为纯现金，不涉及股份支付。现金方式对买卖双方各有含义：卖方核心股东迅速实现流动性退出，买方则避免股权稀释但需承担全额资金压力。对于国锐生活，其主业为物业管理，账上现金及现金等价物截至2024年底约为4.5亿港元（约4.1亿元人民币），足以覆盖收购款，但需考虑后续运营投入。据新京报报道，国锐生活通过银行贷款或自有资金完成支付，具体融资结构未披露。2.69亿元对于一家港股上市公司而言，规模不算大，但跨界并购的整合成本可能数倍于收购价。</w:t>
      </w:r>
    </w:p>
    <w:p>
      <w:pPr>
        <w:spacing w:line="240" w:lineRule="auto"/>
        <w:ind w:firstLine="560"/>
        <w:jc w:val="both"/>
      </w:pPr>
      <w:r>
        <w:rPr>
          <w:rFonts w:ascii="Times New Roman" w:hAnsi="Times New Roman" w:eastAsia="仿宋" w:cs="Times New Roman"/>
          <w:b w:val="0"/>
          <w:sz w:val="28"/>
        </w:rPr>
        <w:t>此次交易未设业绩承诺或对赌条款，这与买方低价买入、主动承担风险的逻辑一致。由于估值已足够低（市价远低于历史融资），买方认为即使标的未来不增长，其资产（用户、品牌、数据积累）也值这个价。然而，没有业绩承诺意味着卖方团队在交割后缺乏明确的业绩对赌激励，这要求买方在交易协议中必须包含管理层留任条款或长期激励计划。据后续报道，王羽潇将继续留任CEO并持有少数股权（约21.7%），这有利于稳定核心团队，但买方需要设计股权期权池或绩效奖金，将管理层利益与公司增长绑定。</w:t>
      </w:r>
    </w:p>
    <w:p>
      <w:pPr>
        <w:spacing w:line="240" w:lineRule="auto"/>
        <w:ind w:firstLine="560"/>
        <w:jc w:val="both"/>
      </w:pPr>
      <w:r>
        <w:rPr>
          <w:rFonts w:ascii="Times New Roman" w:hAnsi="Times New Roman" w:eastAsia="仿宋" w:cs="Times New Roman"/>
          <w:b w:val="0"/>
          <w:sz w:val="28"/>
        </w:rPr>
        <w:t>交易结构还值得关注的是，买方选择了收购控股权而非全资收购。78.3%的持股比例足以实现并表和控制，但保留了创始人遗孀的少数股权。这种安排既降低了买方的资金占用，又使创始团队继续参与经营，有利于投后过渡。对于跨界并购，控股而非全资的路径更灵活：买方可以逐渐熟悉行业，同时避免一次性整合失败带来的风险。此外，国锐生活作为物业管理公司，可能计划将春雨医生作为增值服务板块的独立子公司运营，保留其品牌和团队，待协同见效后再考虑增持或合并。</w:t>
      </w:r>
    </w:p>
    <w:p>
      <w:pPr>
        <w:spacing w:before="160" w:after="80"/>
        <w:ind w:firstLine="200"/>
      </w:pPr>
      <w:r>
        <w:rPr>
          <w:rFonts w:ascii="Times New Roman" w:hAnsi="Times New Roman" w:eastAsia="仿宋" w:cs="Times New Roman"/>
          <w:b/>
          <w:sz w:val="28"/>
        </w:rPr>
        <w:t>三、投后承接的最大挑战：将互联网医疗平台融入物业管理生态，实现用户互导的假设必须验证</w:t>
      </w:r>
    </w:p>
    <w:p>
      <w:pPr>
        <w:spacing w:line="240" w:lineRule="auto"/>
        <w:ind w:firstLine="560"/>
        <w:jc w:val="both"/>
      </w:pPr>
      <w:r>
        <w:rPr>
          <w:rFonts w:ascii="Times New Roman" w:hAnsi="Times New Roman" w:eastAsia="仿宋" w:cs="Times New Roman"/>
          <w:b w:val="0"/>
          <w:sz w:val="28"/>
        </w:rPr>
        <w:t>国锐生活收购春雨医生的核心逻辑在于“业务协同”——物业公司拥有海量社区住户，可以引导业主使用春雨医生的在线问诊服务，从而提升用户活跃度与变现。这一假设在逻辑上成立，但落地面临多重障碍。首先，物业公司的用户触达能力取决于物业数字化水平：如果业主基础停留在传统缴费、报修层面，缺乏私域运营系统（如小程序、业主群、APP），导流效果有限。国锐生活管理的物业项目主要位于三四线城市，业主的线上使用习惯与一二线城市有差距，可能影响转化率。</w:t>
      </w:r>
    </w:p>
    <w:p>
      <w:pPr>
        <w:spacing w:line="240" w:lineRule="auto"/>
        <w:ind w:firstLine="560"/>
        <w:jc w:val="both"/>
      </w:pPr>
      <w:r>
        <w:rPr>
          <w:rFonts w:ascii="Times New Roman" w:hAnsi="Times New Roman" w:eastAsia="仿宋" w:cs="Times New Roman"/>
          <w:b w:val="0"/>
          <w:sz w:val="28"/>
        </w:rPr>
        <w:t>投后整合的关键在于将春雨医生的用户数据与物业公司的社区数据进行打通，建立统一的健康档案系统。这需要双方IT系统的对接，投入不菲，且涉及用户隐私合规。另外，春雨医生的商业模式长期依赖向C端用户收费，但物业公司更习惯于向B端（如地产商、供应商）收费。若将春雨医生的服务打包成物业增值服务的一部分，收费模式需重新设计——是业主付费，还是物业补贴后向保险、药企导流？目前春雨医生的主要收入来源包括问诊分成、健康商城销售和广告，其中问诊分成占大头，而物业场景可能更适合引入健康体检包、慢病管理等B端付费模式。</w:t>
      </w:r>
    </w:p>
    <w:p>
      <w:pPr>
        <w:spacing w:line="240" w:lineRule="auto"/>
        <w:ind w:firstLine="560"/>
        <w:jc w:val="both"/>
      </w:pPr>
      <w:r>
        <w:rPr>
          <w:rFonts w:ascii="Times New Roman" w:hAnsi="Times New Roman" w:eastAsia="仿宋" w:cs="Times New Roman"/>
          <w:b w:val="0"/>
          <w:sz w:val="28"/>
        </w:rPr>
        <w:t>据媒体报道，国锐生活完成收购后，春雨医生依然独立运营，王羽潇继续担任CEO。这说明买方有意保持品牌和团队的独立性，避免过快整合导致核心人才流失。但独立运营也意味着协同效应可能滞后释放。对于收购方而言，设立一个由双方高管组成的联合转型委员会，定期评估导流效果、用户转化率，是控制风险的必要举措。并购后12个月内应验证：物业渠道引入的用户是否愿意付费问诊，转化成本是否低于纯互联网获客成本（据行业数据，线上获客成本约200-300元/人）。如果验证失败，买方需要调整策略，例如将春雨医生作为独立品牌继续融资或探索新的变现路径。</w:t>
      </w:r>
    </w:p>
    <w:p>
      <w:pPr>
        <w:spacing w:before="160" w:after="80"/>
        <w:ind w:firstLine="200"/>
      </w:pPr>
      <w:r>
        <w:rPr>
          <w:rFonts w:ascii="Times New Roman" w:hAnsi="Times New Roman" w:eastAsia="仿宋" w:cs="Times New Roman"/>
          <w:b/>
          <w:sz w:val="28"/>
        </w:rPr>
        <w:t>四、交易前必须验证的关键假设：用户价值、变现路径、管理层能力与行业监管</w:t>
      </w:r>
    </w:p>
    <w:p>
      <w:pPr>
        <w:spacing w:line="240" w:lineRule="auto"/>
        <w:ind w:firstLine="560"/>
        <w:jc w:val="both"/>
      </w:pPr>
      <w:r>
        <w:rPr>
          <w:rFonts w:ascii="Times New Roman" w:hAnsi="Times New Roman" w:eastAsia="仿宋" w:cs="Times New Roman"/>
          <w:b/>
          <w:sz w:val="28"/>
        </w:rPr>
        <w:t>第一，用户价值的真实度。</w:t>
      </w:r>
      <w:r>
        <w:rPr>
          <w:rFonts w:ascii="Times New Roman" w:hAnsi="Times New Roman" w:eastAsia="仿宋" w:cs="Times New Roman"/>
          <w:b w:val="0"/>
          <w:sz w:val="28"/>
        </w:rPr>
        <w:t>春雨医生声称拥有1.8亿注册用户，但日活、月活、付费用户比例等关键指标未公开。据第三方估算，其月活跃用户（MAU）在2024年仅为300万左右，月付费用户约20万，活跃率偏低。并购方应通过技术尽调或第三方数据测算真实活跃度，排除大量僵尸用户。如果活跃用户仅百万级，其导流价值远低于账面数字，需重新评估估值倍数。第二，变现路径的可行性。春雨医生曾尝试问诊、商城、保险等多种变现方式，但均未形成规模营收。2024年全年营收据估算在5000万至8000万元之间，仍处于亏损状态，亏损率在30%以上。收购方需评估：在现有团队不变的情况下，是否有能力扭转亏损？还是仅仅依赖母公司的输血？</w:t>
      </w:r>
    </w:p>
    <w:p>
      <w:pPr>
        <w:spacing w:line="240" w:lineRule="auto"/>
        <w:ind w:firstLine="560"/>
        <w:jc w:val="both"/>
      </w:pPr>
      <w:r>
        <w:rPr>
          <w:rFonts w:ascii="Times New Roman" w:hAnsi="Times New Roman" w:eastAsia="仿宋" w:cs="Times New Roman"/>
          <w:b/>
          <w:sz w:val="28"/>
        </w:rPr>
        <w:t>第三，管理层能力。</w:t>
      </w:r>
      <w:r>
        <w:rPr>
          <w:rFonts w:ascii="Times New Roman" w:hAnsi="Times New Roman" w:eastAsia="仿宋" w:cs="Times New Roman"/>
          <w:b w:val="0"/>
          <w:sz w:val="28"/>
        </w:rPr>
        <w:t>王羽潇作为创始人遗孀，其管理能力一直存疑。公司在她治理下九年，仍未能独立上市，说明战略执行可能偏保守。并购方需要明确：是给予更大资源支持，还是引入职业经理人？如果留用旧团队，需设定明确的业绩里程碑，并配备相应的期权激励。据公开资料，王羽潇持股比例在交易后仍达21.7%，其利益与公司绑定，但买方应要求关键业务负责人（如技术、市场）签署留任协议。第四，行业监管风险。互联网医疗涉及线上诊疗、药品销售、隐私保护，政策易变。例如，国家卫健委对互联网医院资质、医生资质、处方开具有严格规定，且2024年出台了关于AI辅助诊疗的监管新规。春雨医生是否完全合规？历史上有无处罚记录？据界面新闻，春雨医生曾因违规开展药品销售被处以罚款，监管风险需在尽调中覆盖。</w:t>
      </w:r>
    </w:p>
    <w:p>
      <w:pPr>
        <w:spacing w:line="240" w:lineRule="auto"/>
        <w:ind w:firstLine="560"/>
        <w:jc w:val="both"/>
      </w:pPr>
      <w:r>
        <w:rPr>
          <w:rFonts w:ascii="Times New Roman" w:hAnsi="Times New Roman" w:eastAsia="仿宋" w:cs="Times New Roman"/>
          <w:b w:val="0"/>
          <w:sz w:val="28"/>
        </w:rPr>
        <w:t>上述假设若在尽调中无法验证，则应通过交易条款保护自己，例如设置分期支付款项，或要求卖方对特定风险提供担保。但此笔交易未设对赌，意味着买方选择相信标的的稳定性。对于后来者，建议至少设置一个“验尸”条款：如果交割后12个月内用户数据造假或收入未达标，买方有权调整收购对价，例如将部分款项转为递延支付或要求卖方回购股权。此外，买方应聘请独立的财务顾问和行业专家，对标的商业模式进行压力测试，例如模拟在用户增长停滞、政策收紧等情景下的现金流表现。</w:t>
      </w:r>
    </w:p>
    <w:p>
      <w:pPr>
        <w:spacing w:before="160" w:after="80"/>
        <w:ind w:firstLine="200"/>
      </w:pPr>
      <w:r>
        <w:rPr>
          <w:rFonts w:ascii="Times New Roman" w:hAnsi="Times New Roman" w:eastAsia="仿宋" w:cs="Times New Roman"/>
          <w:b/>
          <w:sz w:val="28"/>
        </w:rPr>
        <w:t>五、跨界并购的启示：低价未必是好交易，投后整合成本可能远超收购价</w:t>
      </w:r>
    </w:p>
    <w:p>
      <w:pPr>
        <w:spacing w:line="240" w:lineRule="auto"/>
        <w:ind w:firstLine="560"/>
        <w:jc w:val="both"/>
      </w:pPr>
      <w:r>
        <w:rPr>
          <w:rFonts w:ascii="Times New Roman" w:hAnsi="Times New Roman" w:eastAsia="仿宋" w:cs="Times New Roman"/>
          <w:b w:val="0"/>
          <w:sz w:val="28"/>
        </w:rPr>
        <w:t>国锐生活以2.69亿元收购春雨医生78.3%股权，看似以地板价获取了千万级用户的互联网医疗平台。但并购的总成本不仅包括收购对价，还包括后续的整合投入、运营亏损弥补、系统对接费用等。据业内估算，春雨医生即使轻资产运营，每年的亏损可能达到千万元级别（假设营收8000万元，亏损率30%即2400万元）。若物业公司自身现金流不充裕，长期烧钱会拖累整体业绩。国锐生活2024年净利润约1.2亿港元（约1.1亿元人民币），若春雨医生每年亏损2000-3000万，将侵蚀其20%以上的利润，对上市公司股东而言压力不小。</w:t>
      </w:r>
    </w:p>
    <w:p>
      <w:pPr>
        <w:spacing w:line="240" w:lineRule="auto"/>
        <w:ind w:firstLine="560"/>
        <w:jc w:val="both"/>
      </w:pPr>
      <w:r>
        <w:rPr>
          <w:rFonts w:ascii="Times New Roman" w:hAnsi="Times New Roman" w:eastAsia="仿宋" w:cs="Times New Roman"/>
          <w:b w:val="0"/>
          <w:sz w:val="28"/>
        </w:rPr>
        <w:t>另外，跨界并购最大的风险在于买方管理团队缺乏行业认知。国锐生活是物业管理公司，其高管可能并不理解互联网医疗的运营逻辑、用户需求和竞争格局。若买方将物业管理的流程套用在医疗平台上，可能会扼杀原有的创新文化。建议设立独立的董事会，引入医疗行业独立董事来监督战略。同时，买方应设立过渡服务期，由卖方团队主导运营至少12-18个月，买方只提供必要的资金和资源支持，逐步培养自身团队对医疗业务的熟悉度。</w:t>
      </w:r>
    </w:p>
    <w:p>
      <w:pPr>
        <w:spacing w:line="240" w:lineRule="auto"/>
        <w:ind w:firstLine="560"/>
        <w:jc w:val="both"/>
      </w:pPr>
      <w:r>
        <w:rPr>
          <w:rFonts w:ascii="Times New Roman" w:hAnsi="Times New Roman" w:eastAsia="仿宋" w:cs="Times New Roman"/>
          <w:b w:val="0"/>
          <w:sz w:val="28"/>
        </w:rPr>
        <w:t>总体而言，这笔交易对于希望快速切入健康赛道的上市公司具有一定参考价值：低价买入一个成熟品牌和用户池，但需要以极大的耐心和资源投入来培育变现模式。成功的关键不在于交易价格，而在于收购方能否在收入端找到真正的商业闭环。如果只是将春雨医生当作一个附加在物业上的“免费增值”工具，而无法将其培养为利润中心，那么这笔收购最终可能仅仅是“买了个资产”，而非“买了个增长引擎”。对于上市公司CEO而言，跨界并购前必须明确：是否有足够的资金和人才储备来支持一个陌生行业的业务整合？如果没有，那么再低的收购价也可能变成昂贵的学费。</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