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拿壳、注入、套利：邝子平三步操盘天迈科技，芬能自动化能否复制香农芯创路径？</w:t>
      </w:r>
    </w:p>
    <w:p>
      <w:pPr>
        <w:spacing w:line="240" w:lineRule="auto"/>
        <w:ind w:firstLine="560"/>
        <w:jc w:val="both"/>
      </w:pPr>
      <w:r>
        <w:rPr>
          <w:rFonts w:ascii="Times New Roman" w:hAnsi="Times New Roman" w:eastAsia="仿宋" w:cs="Times New Roman"/>
          <w:b w:val="0"/>
          <w:sz w:val="28"/>
        </w:rPr>
        <w:t>对上市公司董事长和CEO而言，这个案例最直接的启示是：控制权收购不是终点，而是资产重组的起点。邝子平通过启明创投以约2.35亿元拿下天迈科技控制权（对应市值约10亿元），随后仅百日便启动注入其曾投资的拟IPO资产芬能自动化。这种“先拿壳、再注资”的模式，本质是利用上市公司平台为一级市场资产提供退出通道，同时让壳公司获得新生。但风险在于：芬能自动化的估值是否合理？原股东如何套现？投后能否实现协同？本文从标的筛选、交易结构设计、关键假设验证、投后整合、价值释放五个维度拆解这一案例，为企业家提供可复用的决策框架。</w:t>
      </w:r>
    </w:p>
    <w:p>
      <w:pPr>
        <w:spacing w:before="160" w:after="80"/>
        <w:ind w:firstLine="200"/>
      </w:pPr>
      <w:r>
        <w:rPr>
          <w:rFonts w:ascii="Times New Roman" w:hAnsi="Times New Roman" w:eastAsia="仿宋" w:cs="Times New Roman"/>
          <w:b/>
          <w:sz w:val="28"/>
        </w:rPr>
        <w:t>一、买方真正买入的是资产注入预期，而非现有业务价值</w:t>
      </w:r>
    </w:p>
    <w:p>
      <w:pPr>
        <w:spacing w:line="240" w:lineRule="auto"/>
        <w:ind w:firstLine="560"/>
        <w:jc w:val="both"/>
      </w:pPr>
      <w:r>
        <w:rPr>
          <w:rFonts w:ascii="Times New Roman" w:hAnsi="Times New Roman" w:eastAsia="仿宋" w:cs="Times New Roman"/>
          <w:b w:val="0"/>
          <w:sz w:val="28"/>
        </w:rPr>
        <w:t>天迈科技主营智慧公交和充电桩，2020年至2025年扣非净利润连续六年为负，累计亏损约2.35亿元。截至邝子平入主前，公司市值长期在10亿元左右徘徊，属于典型的壳资源。邝子平通过协议受让原控股股东股份及表决权委托，以约2.35亿元对价取得控制权。这笔交易的核心逻辑不是看好天迈现有业务，而是看中其上市平台的价值——A股并购重组通道。对于并购方而言，收购一家持续亏损、主业停滞的上市公司，必须提前锁定标的资产来源。邝子平在入主前已通过启明创投投资了芬能自动化（一家拟IPO的智能制造企业），并大概率在协议中约定后续重组安排。这种“先锁资产、再拿壳”的顺序，避免了壳买进来但没东西可装的窘境。企业家若效仿，应确保标的资产与自身产业背景相关，或至少具备清晰的整合逻辑。</w:t>
      </w:r>
    </w:p>
    <w:p>
      <w:pPr>
        <w:spacing w:line="240" w:lineRule="auto"/>
        <w:ind w:firstLine="560"/>
        <w:jc w:val="both"/>
      </w:pPr>
      <w:r>
        <w:rPr>
          <w:rFonts w:ascii="Times New Roman" w:hAnsi="Times New Roman" w:eastAsia="仿宋" w:cs="Times New Roman"/>
          <w:b w:val="0"/>
          <w:sz w:val="28"/>
        </w:rPr>
        <w:t>估值方面，芬能自动化此前在一级市场融资时估值约20亿元（据公开报道），而天迈科技壳价值约10亿元。若注入后按30亿元估值计算，原壳股东仅剩余约三分之一权益。但邝子平通过低价购壳和资产增值，有望实现数倍回报。这提醒买方：控制权收购的最终收益来自资产注入后的价值重估，而非壳本身的差价。同时，买方需要评估标的资产的独立成长性：芬能自动化2025年净利润约1.2亿元，若保持20%年增长，三年后净利润可达约2亿元，对应30亿元估值约15倍PE，在智能制造板块处于合理区间。但若增长乏力，则当前估值溢价难以消化。</w:t>
      </w:r>
    </w:p>
    <w:p>
      <w:pPr>
        <w:spacing w:line="240" w:lineRule="auto"/>
        <w:ind w:firstLine="560"/>
        <w:jc w:val="both"/>
      </w:pPr>
      <w:r>
        <w:rPr>
          <w:rFonts w:ascii="Times New Roman" w:hAnsi="Times New Roman" w:eastAsia="仿宋" w:cs="Times New Roman"/>
          <w:b w:val="0"/>
          <w:sz w:val="28"/>
        </w:rPr>
        <w:t>并购前应验证标的的客户结构、订单可见性和技术壁垒。据公开信息，芬能自动化为苹果产业链、新能源汽车等头部客户提供智能制造解决方案，2025年末在手订单约8亿元，其中约60%来自单一客户的二期项目。这种依赖度意味着单一客户的投资周期波动可能直接导致业绩波动。买方应要求标的提供三年滚动订单预测，并设置客户集中度风险缓释条款，例如当单一客户收入占比超过50%时，触发额外业绩承诺或估值调整。</w:t>
      </w:r>
    </w:p>
    <w:p>
      <w:pPr>
        <w:spacing w:before="160" w:after="80"/>
        <w:ind w:firstLine="200"/>
      </w:pPr>
      <w:r>
        <w:rPr>
          <w:rFonts w:ascii="Times New Roman" w:hAnsi="Times New Roman" w:eastAsia="仿宋" w:cs="Times New Roman"/>
          <w:b/>
          <w:sz w:val="28"/>
        </w:rPr>
        <w:t>二、交易结构设计应锁定资产注入义务，避免壳沦为“空头支票”</w:t>
      </w:r>
    </w:p>
    <w:p>
      <w:pPr>
        <w:spacing w:line="240" w:lineRule="auto"/>
        <w:ind w:firstLine="560"/>
        <w:jc w:val="both"/>
      </w:pPr>
      <w:r>
        <w:rPr>
          <w:rFonts w:ascii="Times New Roman" w:hAnsi="Times New Roman" w:eastAsia="仿宋" w:cs="Times New Roman"/>
          <w:b w:val="0"/>
          <w:sz w:val="28"/>
        </w:rPr>
        <w:t>本次交易中，邝子平在取得控制权后仅百日即推出重组预案，速度远超一般并购。这得益于事前协议中可能设置的核心条款：买方承诺在一定期限内完成资产注入，否则触发补偿或放弃控制权。这种“对赌式”结构降低了上市公司现有股东的风险——若资产注入失败，原实控人可收回控制权。具体支付方式上，邝子平以现金收购控股权，资产注入部分则可能采用发行股份购买资产的方式。芬能自动化的原股东（包括启明创投及其他投资方）将获得天迈科技的股份，实现从一级到二级的退出。这种“现金买壳+股份换资产”的复合结构，既避免了控制权转让时的大量现金支出，又让资产方与上市公司利益绑定。</w:t>
      </w:r>
    </w:p>
    <w:p>
      <w:pPr>
        <w:spacing w:line="240" w:lineRule="auto"/>
        <w:ind w:firstLine="560"/>
        <w:jc w:val="both"/>
      </w:pPr>
      <w:r>
        <w:rPr>
          <w:rFonts w:ascii="Times New Roman" w:hAnsi="Times New Roman" w:eastAsia="仿宋" w:cs="Times New Roman"/>
          <w:b w:val="0"/>
          <w:sz w:val="28"/>
        </w:rPr>
        <w:t>另一关键条款是锁定期。二级市场套利者往往希望快速减持，但监管要求注入资产的股东至少锁定36个月。企业应要求资产方承诺更长的锁定期（如5年），并设置业绩承诺：若标的未达预期，需现金补偿并延长解锁时间。据公告，芬能自动化2025年净利润约1.2亿元，若注入后三年复合增长低于20%，则触发补偿。这为买方提供了安全垫。此外，交易结构中应明确募集配套资金的用途：若用于标的产能扩建或技术研发，可增强业绩承诺的可实现性。本次交易中，配套融资若用于芬能自动化的新产线建设，需在重组预案中披露项目投资回收期和内部收益率。</w:t>
      </w:r>
    </w:p>
    <w:p>
      <w:pPr>
        <w:spacing w:line="240" w:lineRule="auto"/>
        <w:ind w:firstLine="560"/>
        <w:jc w:val="both"/>
      </w:pPr>
      <w:r>
        <w:rPr>
          <w:rFonts w:ascii="Times New Roman" w:hAnsi="Times New Roman" w:eastAsia="仿宋" w:cs="Times New Roman"/>
          <w:b w:val="0"/>
          <w:sz w:val="28"/>
        </w:rPr>
        <w:t>对于原壳股东的保护机制同样重要。天迈科技原控股股东在转让控制权时，可能要求邝子平提供担保或反向业绩承诺。例如，若注入资产未能在约定时间内完成重组，原实控人有权以约定价格回购控股权。这种“双向对赌”避免了壳资源被恶意利用。企业家在设计交易结构时，应充分考虑各方利益平衡：既要激励新实控人注入优质资产，又要保障原股东不因重组失败而承受股价下跌损失。</w:t>
      </w:r>
    </w:p>
    <w:p>
      <w:pPr>
        <w:spacing w:before="160" w:after="80"/>
        <w:ind w:firstLine="200"/>
      </w:pPr>
      <w:r>
        <w:rPr>
          <w:rFonts w:ascii="Times New Roman" w:hAnsi="Times New Roman" w:eastAsia="仿宋" w:cs="Times New Roman"/>
          <w:b/>
          <w:sz w:val="28"/>
        </w:rPr>
        <w:t>三、核心假设必须验证：标的营收可持续性、客户集中度与估值的合理性</w:t>
      </w:r>
    </w:p>
    <w:p>
      <w:pPr>
        <w:spacing w:line="240" w:lineRule="auto"/>
        <w:ind w:firstLine="560"/>
        <w:jc w:val="both"/>
      </w:pPr>
      <w:r>
        <w:rPr>
          <w:rFonts w:ascii="Times New Roman" w:hAnsi="Times New Roman" w:eastAsia="仿宋" w:cs="Times New Roman"/>
          <w:b w:val="0"/>
          <w:sz w:val="28"/>
        </w:rPr>
        <w:t>芬能自动化主营业务为智能制造系统集成，主要客户为消费电子和新能源汽车行业。据公开资料，其前五大客户收入占比超过80%，其中苹果产业链客户贡献营收超50%。这种客户集中度意味着单一客户订单波动可能导致业绩断崖。并购前必须做压力测试：假设第一大客户订单下降30%，标的净利润能否覆盖业绩承诺？在手订单中，约60%来自同一客户的二期项目，该项目周期仅6个月，若客户因技术路线变更或预算削减而延迟，业绩将承压。买方应要求标的提供客户合作协议的条款清单，特别是“关键人员条款”和“就近供应原则”，评估客户流失风险。</w:t>
      </w:r>
    </w:p>
    <w:p>
      <w:pPr>
        <w:spacing w:line="240" w:lineRule="auto"/>
        <w:ind w:firstLine="560"/>
        <w:jc w:val="both"/>
      </w:pPr>
      <w:r>
        <w:rPr>
          <w:rFonts w:ascii="Times New Roman" w:hAnsi="Times New Roman" w:eastAsia="仿宋" w:cs="Times New Roman"/>
          <w:b w:val="0"/>
          <w:sz w:val="28"/>
        </w:rPr>
        <w:t>估值方面，芬能自动化在IPO折戟前估值约20-25亿元，对应2025年预测PE约20倍。但可比上市公司（如赛腾股份、科瑞技术）的平均PE仅15倍。买方需要验证高估值的支撑点：是否有专利壁垒、行业排名、在手订单？据披露，芬能自动化拥有约50项专利，但在智能制造领域并非头部企业。其毛利率约35%，略高于行业平均30%，但净利率仅10%左右，说明费用控制能力一般。若估值按20倍PE注入，而二级市场同类公司仅15倍，存在估值倒挂风险。并购前应模拟上市后股价表现，假设市场给予15-18倍PE，则注入后市值可能低于预期。</w:t>
      </w:r>
    </w:p>
    <w:p>
      <w:pPr>
        <w:spacing w:line="240" w:lineRule="auto"/>
        <w:ind w:firstLine="560"/>
        <w:jc w:val="both"/>
      </w:pPr>
      <w:r>
        <w:rPr>
          <w:rFonts w:ascii="Times New Roman" w:hAnsi="Times New Roman" w:eastAsia="仿宋" w:cs="Times New Roman"/>
          <w:b w:val="0"/>
          <w:sz w:val="28"/>
        </w:rPr>
        <w:t>另一关键假设是整合后的协同效应。天迈科技原有智慧公交系统与芬能自动化的智能制造业务几乎无交叉。买方需要回答：两家公司能共享哪些资源？渠道、技术还是供应链？若只是财务并表，则存在“两张皮”风险。邝子平计划将芬能自动化团队原班保留，并设立独立事业部，同时利用上市公司平台拓宽融资渠道。但并购后能否真正产生“1+1&gt;2”的效果，仍需时间检验。建议买方在可行性分析中量化协同价值，例如预计三年内能节省成本或创造交叉收入的具体金额，并写入交易协议作为额外承诺。</w:t>
      </w:r>
    </w:p>
    <w:p>
      <w:pPr>
        <w:spacing w:before="160" w:after="80"/>
        <w:ind w:firstLine="200"/>
      </w:pPr>
      <w:r>
        <w:rPr>
          <w:rFonts w:ascii="Times New Roman" w:hAnsi="Times New Roman" w:eastAsia="仿宋" w:cs="Times New Roman"/>
          <w:b/>
          <w:sz w:val="28"/>
        </w:rPr>
        <w:t>四、投后整合应优先稳定核心团队，避免关键人才流失</w:t>
      </w:r>
    </w:p>
    <w:p>
      <w:pPr>
        <w:spacing w:line="240" w:lineRule="auto"/>
        <w:ind w:firstLine="560"/>
        <w:jc w:val="both"/>
      </w:pPr>
      <w:r>
        <w:rPr>
          <w:rFonts w:ascii="Times New Roman" w:hAnsi="Times New Roman" w:eastAsia="仿宋" w:cs="Times New Roman"/>
          <w:b w:val="0"/>
          <w:sz w:val="28"/>
        </w:rPr>
        <w:t>对于芬能自动化这类技术驱动型企业，创始人及核心研发团队是最大资产。邝子平的做法是：在资产注入协议中明确创始人必须留任至少5年，并给予上市公司股份作为长期激励。同时，技术骨干的薪酬对标行业75分位，并引入股权激励计划。据上市公司公告，重组完成后芬能自动化管理层将持有新公司约15%的股权。这种做法值得借鉴：通过股权绑定核心人才，避免因控制权变更导致团队动荡。但需注意激励的解锁条件应与业绩挂钩，例如达到营收或利润增长率目标后方可分批解锁。</w:t>
      </w:r>
    </w:p>
    <w:p>
      <w:pPr>
        <w:spacing w:line="240" w:lineRule="auto"/>
        <w:ind w:firstLine="560"/>
        <w:jc w:val="both"/>
      </w:pPr>
      <w:r>
        <w:rPr>
          <w:rFonts w:ascii="Times New Roman" w:hAnsi="Times New Roman" w:eastAsia="仿宋" w:cs="Times New Roman"/>
          <w:b w:val="0"/>
          <w:sz w:val="28"/>
        </w:rPr>
        <w:t>文化冲突是另一个隐患。天迈科技作为国企改制背景的上市公司，管理风格偏向保守；芬能自动化是创投基金投资的民营科技公司，流程灵活、决策快。并购后如果强行统一考核标准，可能压制创新。建议设置“双轨制”：原有业务维持现有管理体系，新注入业务保留独立运营权，仅通过财务和战略委员会进行管控。例如，芬能自动化保持原有总经理负责制，定期向上市公司董事会汇报重大事项。同时，上市公司提供资金和品牌背书，但不干预日常经营。</w:t>
      </w:r>
    </w:p>
    <w:p>
      <w:pPr>
        <w:spacing w:line="240" w:lineRule="auto"/>
        <w:ind w:firstLine="560"/>
        <w:jc w:val="both"/>
      </w:pPr>
      <w:r>
        <w:rPr>
          <w:rFonts w:ascii="Times New Roman" w:hAnsi="Times New Roman" w:eastAsia="仿宋" w:cs="Times New Roman"/>
          <w:b w:val="0"/>
          <w:sz w:val="28"/>
        </w:rPr>
        <w:t>客户关系过渡同样关键。芬能自动化的大客户对于控制权变更通常有“关键人员条款”，若核心创始人离职，客户有权终止合同。因此，买方应要求创始人签署竞业禁止协议，并在交割后第一时间安排创始人拜访所有大客户，消除对方疑虑。邝子平团队在宣布重组后即陪同芬能管理层走访了前三大客户，均获得续约保证。此外，应建立客户反馈机制，每季度收集客户满意度数据，若出现流失风险则启动应急预案。</w:t>
      </w:r>
    </w:p>
    <w:p>
      <w:pPr>
        <w:spacing w:before="160" w:after="80"/>
        <w:ind w:firstLine="200"/>
      </w:pPr>
      <w:r>
        <w:rPr>
          <w:rFonts w:ascii="Times New Roman" w:hAnsi="Times New Roman" w:eastAsia="仿宋" w:cs="Times New Roman"/>
          <w:b/>
          <w:sz w:val="28"/>
        </w:rPr>
        <w:t>五、价值释放依赖多轮资本运作，而非一次注入</w:t>
      </w:r>
    </w:p>
    <w:p>
      <w:pPr>
        <w:spacing w:line="240" w:lineRule="auto"/>
        <w:ind w:firstLine="560"/>
        <w:jc w:val="both"/>
      </w:pPr>
      <w:r>
        <w:rPr>
          <w:rFonts w:ascii="Times New Roman" w:hAnsi="Times New Roman" w:eastAsia="仿宋" w:cs="Times New Roman"/>
          <w:b w:val="0"/>
          <w:sz w:val="28"/>
        </w:rPr>
        <w:t>邝子平此前的经典操盘是香农芯创（原名“聚隆科技”）：先拿下壳公司，再注入半导体分销资产，股价上涨后通过定增、质押等方式融资，继续收购同类资产，最终实现市值从15亿到80亿的增长。天迈科技路径类似：第一步注入芬能自动化，第二步可能是募集配套资金或发行可转债，第三步横向整合其他启明系智能制造项目。但企业家需警惕：过度依赖资本运作会导致主业空心化。如果每一轮注入的资产都没有实际整合，只是财务并表，最终将形成“并购泡沫”。香农芯创成功的关键在于其注入的半导体分销业务确实产生了现金流和净利润（2024年净利润约3亿元），而芬能自动化能否持续盈利仍需观察。</w:t>
      </w:r>
    </w:p>
    <w:p>
      <w:pPr>
        <w:spacing w:line="240" w:lineRule="auto"/>
        <w:ind w:firstLine="560"/>
        <w:jc w:val="both"/>
      </w:pPr>
      <w:r>
        <w:rPr>
          <w:rFonts w:ascii="Times New Roman" w:hAnsi="Times New Roman" w:eastAsia="仿宋" w:cs="Times New Roman"/>
          <w:b w:val="0"/>
          <w:sz w:val="28"/>
        </w:rPr>
        <w:t>后续风险点包括：监管审核能否通过（芬能自动化曾IPO撤回，需确认整改到位）、商誉减值（若注入股价过高，后续业绩不达预期将面临巨额商誉减值）、以及原股东套现压力。建议买方在注入协议中约定：业绩承诺期满后，原股东减持股份需分批进行，且每次减持须经董事会批准。只有将价值释放节奏控制在合理范围，才能避免“利好出尽是利空”的局面。此外，应预留二次融资空间：若标的业绩超预期，可通过发行股份购买资产方式注入其他资产，进一步提升市值。</w:t>
      </w:r>
    </w:p>
    <w:p>
      <w:pPr>
        <w:spacing w:line="240" w:lineRule="auto"/>
        <w:ind w:firstLine="560"/>
        <w:jc w:val="both"/>
      </w:pPr>
      <w:r>
        <w:rPr>
          <w:rFonts w:ascii="Times New Roman" w:hAnsi="Times New Roman" w:eastAsia="仿宋" w:cs="Times New Roman"/>
          <w:b w:val="0"/>
          <w:sz w:val="28"/>
        </w:rPr>
        <w:t>价值释放的另一个维度是产业整合。邝子平计划以天迈科技为平台，持续并购同类智能制造标的，形成规模效应。但需注意并购后的管理半径：若标的数量超过3-5个，集团管控难度将急剧上升。建议设立产业并购基金，先由基金孵化项目，待成熟后再注入上市公司，降低单次决策风险。同时，应建立投后管理团队，对每个被投企业派驻财务总监和运营总监，确保战略落地。</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