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借壳不是终点而是起点：顺丰433亿借壳鼎泰新材的交易结构设计与投后整合启示</w:t>
      </w:r>
    </w:p>
    <w:p>
      <w:pPr>
        <w:spacing w:line="240" w:lineRule="auto"/>
        <w:ind w:firstLine="560"/>
        <w:jc w:val="both"/>
      </w:pPr>
      <w:r>
        <w:rPr>
          <w:rFonts w:ascii="Times New Roman" w:hAnsi="Times New Roman" w:eastAsia="仿宋" w:cs="Times New Roman"/>
          <w:b w:val="0"/>
          <w:sz w:val="28"/>
        </w:rPr>
        <w:t>对于谋求上市的物流龙头而言，借壳路径的选择、交易结构的搭建与监管风险的规避，直接影响上市成败与后续价值释放。顺丰控股以433亿元估值借壳鼎泰新材，是A股快递行业标志性重组。案例揭示了并购前必须验证的三大命题：壳公司的资产净壳程度、监管对类金融资产的剥离要求、以及业绩承诺的可实现性。交易中通过资产置换、发行股份与配套融资的组合设计，实现了控制权转移与资金注入的同步。投后整合中，顺丰以原管理团队主导运营，剥离壳公司原有资产，聚焦主业。对于企业家而言，借壳交易的核心价值不在于获得上市地位，而在于上市后能否持续巩固竞争壁垒。</w:t>
      </w:r>
    </w:p>
    <w:p>
      <w:pPr>
        <w:spacing w:before="160" w:after="80"/>
        <w:ind w:firstLine="200"/>
      </w:pPr>
      <w:r>
        <w:rPr>
          <w:rFonts w:ascii="Times New Roman" w:hAnsi="Times New Roman" w:eastAsia="仿宋" w:cs="Times New Roman"/>
          <w:b/>
          <w:sz w:val="28"/>
        </w:rPr>
        <w:t>一、壳公司选择的关键前提：净壳可行性与股东退出意愿</w:t>
      </w:r>
    </w:p>
    <w:p>
      <w:pPr>
        <w:spacing w:line="240" w:lineRule="auto"/>
        <w:ind w:firstLine="560"/>
        <w:jc w:val="both"/>
      </w:pPr>
      <w:r>
        <w:rPr>
          <w:rFonts w:ascii="Times New Roman" w:hAnsi="Times New Roman" w:eastAsia="仿宋" w:cs="Times New Roman"/>
          <w:b w:val="0"/>
          <w:sz w:val="28"/>
        </w:rPr>
        <w:t>顺丰在2016年启动上市时，面临IPO排队周期长与竞争对手圆通、申通已抢先登陆资本市场的压力。选择鼎泰新材作为壳公司，核心考量是其市值较小（约30亿元）、股权结构相对集中（原实际控制人持股约60%），且负债率低，便于完成资产置换与净壳剥离。交易中鼎泰新材原股东获得约8亿元现金对价，同时不再持有上市公司股份，彻底让渡控制权，这说明壳公司原股东有明确的变现意愿。</w:t>
      </w:r>
    </w:p>
    <w:p>
      <w:pPr>
        <w:spacing w:line="240" w:lineRule="auto"/>
        <w:ind w:firstLine="560"/>
        <w:jc w:val="both"/>
      </w:pPr>
      <w:r>
        <w:rPr>
          <w:rFonts w:ascii="Times New Roman" w:hAnsi="Times New Roman" w:eastAsia="仿宋" w:cs="Times New Roman"/>
          <w:b w:val="0"/>
          <w:sz w:val="28"/>
        </w:rPr>
        <w:t>另一个必须验证的假设是监管对类金融资产的态度。顺丰旗下拥有顺丰金融、合丰小贷等资产，在2016年监管收紧借壳上市的背景下，此类资产可能被认定为不符合“经营性资产”要求。公告披露后，证监会反馈要求剥离金融资产。顺丰在2016年7月调整方案，将金融资产全部剥离至实际控制人王卫控制的体外主体，仅保留快递主业。这一调整避免了重组被否的风险，也向市场传递了聚焦主业的信号。并购前，企业家应系统梳理标的资产中是否含有监管敏感板块，并预留剥离路径。</w:t>
      </w:r>
    </w:p>
    <w:p>
      <w:pPr>
        <w:spacing w:line="240" w:lineRule="auto"/>
        <w:ind w:firstLine="560"/>
        <w:jc w:val="both"/>
      </w:pPr>
      <w:r>
        <w:rPr>
          <w:rFonts w:ascii="Times New Roman" w:hAnsi="Times New Roman" w:eastAsia="仿宋" w:cs="Times New Roman"/>
          <w:b w:val="0"/>
          <w:sz w:val="28"/>
        </w:rPr>
        <w:t>时间节点同样关键：顺丰借壳从2016年5月公告预案到2017年2月完成上市，历时约9个月，相比IPO通常2-3年周期大幅缩短。但这一优势的前提是壳公司干净、交易方案简洁、各方股东配合度高。对于拟借壳企业，选择壳公司时应优先考察原股东的退出意愿与配合度，以及壳公司是否存在隐性债务或法律纠纷——这些因素往往比壳公司市值更重要。</w:t>
      </w:r>
    </w:p>
    <w:p>
      <w:pPr>
        <w:spacing w:before="160" w:after="80"/>
        <w:ind w:firstLine="200"/>
      </w:pPr>
      <w:r>
        <w:rPr>
          <w:rFonts w:ascii="Times New Roman" w:hAnsi="Times New Roman" w:eastAsia="仿宋" w:cs="Times New Roman"/>
          <w:b/>
          <w:sz w:val="28"/>
        </w:rPr>
        <w:t>二、交易结构的三阶段设计：资产置换、股份发行与配套融资的协同</w:t>
      </w:r>
    </w:p>
    <w:p>
      <w:pPr>
        <w:spacing w:line="240" w:lineRule="auto"/>
        <w:ind w:firstLine="560"/>
        <w:jc w:val="both"/>
      </w:pPr>
      <w:r>
        <w:rPr>
          <w:rFonts w:ascii="Times New Roman" w:hAnsi="Times New Roman" w:eastAsia="仿宋" w:cs="Times New Roman"/>
          <w:b w:val="0"/>
          <w:sz w:val="28"/>
        </w:rPr>
        <w:t>顺丰借壳的交易结构采用“资产置换+发行股份购买资产+募集配套资金”三阶段设计。首先，鼎泰新材以全部资产及负债（评估值约8亿元）与顺丰控股100%股权（评估值约433亿元）进行等值置换，置换差额约425亿元由鼎泰新材向顺丰全体股东发行股份购买，发行价格为10.76元/股，合计发行约39.5亿股。其次，向特定投资者非公开发行股份募集配套资金不超过80亿元，用于项目建设及补充流动资金。这一设计实现了净壳剥离、绕开现金支付压力、获得发展资金三个目标。</w:t>
      </w:r>
    </w:p>
    <w:p>
      <w:pPr>
        <w:spacing w:line="240" w:lineRule="auto"/>
        <w:ind w:firstLine="560"/>
        <w:jc w:val="both"/>
      </w:pPr>
      <w:r>
        <w:rPr>
          <w:rFonts w:ascii="Times New Roman" w:hAnsi="Times New Roman" w:eastAsia="仿宋" w:cs="Times New Roman"/>
          <w:b w:val="0"/>
          <w:sz w:val="28"/>
        </w:rPr>
        <w:t>股份锁定期安排增强了市场信心：王卫承诺其获得的上市公司股份自上市之日起36个月内不转让，其他股东锁定12个月。配套融资最终吸引了中原资产、申万宏源等机构参与，发行对象不超过10名，锁定期12个月。股权融资避免了债务压力，使顺丰在上市首年即拥有充裕现金流用于网络升级和科技投入。估值基础是收益法评估，2015年净利润约11亿元，对应433亿元估值，静态市盈率约39倍，动态市盈率约22倍。</w:t>
      </w:r>
    </w:p>
    <w:p>
      <w:pPr>
        <w:spacing w:line="240" w:lineRule="auto"/>
        <w:ind w:firstLine="560"/>
        <w:jc w:val="both"/>
      </w:pPr>
      <w:r>
        <w:rPr>
          <w:rFonts w:ascii="Times New Roman" w:hAnsi="Times New Roman" w:eastAsia="仿宋" w:cs="Times New Roman"/>
          <w:b w:val="0"/>
          <w:sz w:val="28"/>
        </w:rPr>
        <w:t>业绩承诺保障了交易公允性：顺丰股东承诺2016年至2018年扣非净利润分别不低于21.8亿元、28亿元、34.8亿元。实际完成情况良好，2016年扣非净利润约26.1亿元，超过承诺；2017年约28.7亿元，达标；2018年约34.8亿元，达标。若未达标，将以股份补偿。企业家需注意，业绩承诺的合理性和严格程度直接影响交易顺利通过审核，并保护中小股东利益。</w:t>
      </w:r>
    </w:p>
    <w:p>
      <w:pPr>
        <w:spacing w:before="160" w:after="80"/>
        <w:ind w:firstLine="200"/>
      </w:pPr>
      <w:r>
        <w:rPr>
          <w:rFonts w:ascii="Times New Roman" w:hAnsi="Times New Roman" w:eastAsia="仿宋" w:cs="Times New Roman"/>
          <w:b/>
          <w:sz w:val="28"/>
        </w:rPr>
        <w:t>三、监管合规的隐形门槛：金融资产剥离与借壳认定标准的应对</w:t>
      </w:r>
    </w:p>
    <w:p>
      <w:pPr>
        <w:spacing w:line="240" w:lineRule="auto"/>
        <w:ind w:firstLine="560"/>
        <w:jc w:val="both"/>
      </w:pPr>
      <w:r>
        <w:rPr>
          <w:rFonts w:ascii="Times New Roman" w:hAnsi="Times New Roman" w:eastAsia="仿宋" w:cs="Times New Roman"/>
          <w:b w:val="0"/>
          <w:sz w:val="28"/>
        </w:rPr>
        <w:t>2016年正值监管层收紧借壳上市审核，尤其对金融类、类金融资产的重组监管趋严。顺丰原本计划将金融资产一并注入，但证监会新规后，顺丰立即调整方案，将顺丰金融、合丰小贷、乐丰保理等金融资产剥离至王卫控制的明德控股。剥离后，上市公司资产更“干净”，也减少了监管对金融风险的担忧。尽管注入资产与壳公司原有资产总额占比远超100%，但借壳认定更关注控制权变更与资产规模，剥离金融资产并未改变借壳本质。</w:t>
      </w:r>
    </w:p>
    <w:p>
      <w:pPr>
        <w:spacing w:line="240" w:lineRule="auto"/>
        <w:ind w:firstLine="560"/>
        <w:jc w:val="both"/>
      </w:pPr>
      <w:r>
        <w:rPr>
          <w:rFonts w:ascii="Times New Roman" w:hAnsi="Times New Roman" w:eastAsia="仿宋" w:cs="Times New Roman"/>
          <w:b w:val="0"/>
          <w:sz w:val="28"/>
        </w:rPr>
        <w:t>交易还面临证监会关于行业属性与持续经营能力的问询。顺丰直营与加盟结合模式下，收入确认的严谨性、员工社保合规等问题均需详细回复。顺丰提供了2013-2015年审计报告，证明了盈利稳定性。募集资金用途中约27亿元用于购置飞机和航材、20亿元用于信息服务平台建设、13亿元用于中转场建设等，侧重主业巩固，避免了“补充流动资金”比例过高的质疑。</w:t>
      </w:r>
    </w:p>
    <w:p>
      <w:pPr>
        <w:spacing w:line="240" w:lineRule="auto"/>
        <w:ind w:firstLine="560"/>
        <w:jc w:val="both"/>
      </w:pPr>
      <w:r>
        <w:rPr>
          <w:rFonts w:ascii="Times New Roman" w:hAnsi="Times New Roman" w:eastAsia="仿宋" w:cs="Times New Roman"/>
          <w:b w:val="0"/>
          <w:sz w:val="28"/>
        </w:rPr>
        <w:t>本案例启示：借壳交易成功不仅依赖商业谈判，更依赖对监管审核动态的预判与快速调整能力。计划借壳的企业应在交易方案设计阶段就聘请专业中介机构进行合规性评估，提前识别可能被否定的资产板块，并准备替代方案。同时应尽量选择上市地位明确、历史沿革简单的壳公司，以减少审核问询环节。</w:t>
      </w:r>
    </w:p>
    <w:p>
      <w:pPr>
        <w:spacing w:before="160" w:after="80"/>
        <w:ind w:firstLine="200"/>
      </w:pPr>
      <w:r>
        <w:rPr>
          <w:rFonts w:ascii="Times New Roman" w:hAnsi="Times New Roman" w:eastAsia="仿宋" w:cs="Times New Roman"/>
          <w:b/>
          <w:sz w:val="28"/>
        </w:rPr>
        <w:t>四、估值博弈的核心：433亿估值的假设检验与业绩承诺的约束力</w:t>
      </w:r>
    </w:p>
    <w:p>
      <w:pPr>
        <w:spacing w:line="240" w:lineRule="auto"/>
        <w:ind w:firstLine="560"/>
        <w:jc w:val="both"/>
      </w:pPr>
      <w:r>
        <w:rPr>
          <w:rFonts w:ascii="Times New Roman" w:hAnsi="Times New Roman" w:eastAsia="仿宋" w:cs="Times New Roman"/>
          <w:b w:val="0"/>
          <w:sz w:val="28"/>
        </w:rPr>
        <w:t>顺丰控股433亿元估值基于收益法评估，评估机构采用现金流折现模型，预测2016-2020年营业收入复合增长率约20%。这一假设建立在快递行业高速增长、顺丰中高端市场地位及网络规模效应上。截至2015年，顺丰拥有约34万名员工、1.5万台运输车辆、36架自有飞机，年快件量超17亿件，市场占有率约8%。其直营模式对服务质量和时效的控制力，支撑了高于行业平均的单价和利润率。估值时采用约11%的加权平均资本成本。</w:t>
      </w:r>
    </w:p>
    <w:p>
      <w:pPr>
        <w:spacing w:line="240" w:lineRule="auto"/>
        <w:ind w:firstLine="560"/>
        <w:jc w:val="both"/>
      </w:pPr>
      <w:r>
        <w:rPr>
          <w:rFonts w:ascii="Times New Roman" w:hAnsi="Times New Roman" w:eastAsia="仿宋" w:cs="Times New Roman"/>
          <w:b w:val="0"/>
          <w:sz w:val="28"/>
        </w:rPr>
        <w:t>业绩补偿协议的设计增强了估值可信度：王卫等股东承诺2016-2018年扣非净利润分别不低于21.8亿、28亿、34.8亿元，未达标时以股份或现金补偿。实际业绩2016年26.1亿元、2017年28.7亿元、2018年34.8亿元，均超额或达标。这一条款不仅约束了原股东，也稳定了二级市场预期。对于企业家而言，应审慎评估标的盈利预测的合理性，并在协议中明确补偿机制。</w:t>
      </w:r>
    </w:p>
    <w:p>
      <w:pPr>
        <w:spacing w:line="240" w:lineRule="auto"/>
        <w:ind w:firstLine="560"/>
        <w:jc w:val="both"/>
      </w:pPr>
      <w:r>
        <w:rPr>
          <w:rFonts w:ascii="Times New Roman" w:hAnsi="Times New Roman" w:eastAsia="仿宋" w:cs="Times New Roman"/>
          <w:b w:val="0"/>
          <w:sz w:val="28"/>
        </w:rPr>
        <w:t>配套融资80亿元使顺丰上市后资产负债率从约60%下降至50%以下，财务结构优化。但高估值背后隐含对长期增长的预期——顺丰上市后市值一度达3000亿元，市盈率超60倍。随着行业竞争加剧，高估值面临回归压力。投后管理中，企业应将融资资金有效投入核心能力建设，而非短期市值管理。</w:t>
      </w:r>
    </w:p>
    <w:p>
      <w:pPr>
        <w:spacing w:before="160" w:after="80"/>
        <w:ind w:firstLine="200"/>
      </w:pPr>
      <w:r>
        <w:rPr>
          <w:rFonts w:ascii="Times New Roman" w:hAnsi="Times New Roman" w:eastAsia="仿宋" w:cs="Times New Roman"/>
          <w:b/>
          <w:sz w:val="28"/>
        </w:rPr>
        <w:t>五、投后整合的实质：管理权交接、业务聚焦与体系协同</w:t>
      </w:r>
    </w:p>
    <w:p>
      <w:pPr>
        <w:spacing w:line="240" w:lineRule="auto"/>
        <w:ind w:firstLine="560"/>
        <w:jc w:val="both"/>
      </w:pPr>
      <w:r>
        <w:rPr>
          <w:rFonts w:ascii="Times New Roman" w:hAnsi="Times New Roman" w:eastAsia="仿宋" w:cs="Times New Roman"/>
          <w:b w:val="0"/>
          <w:sz w:val="28"/>
        </w:rPr>
        <w:t>借壳交易完成后，王卫团队迅速获得上市公司控制权，原壳公司所有高管退出。投后整合第一要务是剥离壳公司原有业务，实现“净壳”运营。顺丰将集团内所有快递相关业务纳入上市公司体系，形成统一品牌和网络。这种聚焦主业的做法，与许多借壳公司注入多元资产形成鲜明对比。整合的关键环节还包括信息系统和财务体系统一：顺丰利用上市契机加大科技投入，募集资金中20亿元用于信息服务平台建设。</w:t>
      </w:r>
    </w:p>
    <w:p>
      <w:pPr>
        <w:spacing w:line="240" w:lineRule="auto"/>
        <w:ind w:firstLine="560"/>
        <w:jc w:val="both"/>
      </w:pPr>
      <w:r>
        <w:rPr>
          <w:rFonts w:ascii="Times New Roman" w:hAnsi="Times New Roman" w:eastAsia="仿宋" w:cs="Times New Roman"/>
          <w:b w:val="0"/>
          <w:sz w:val="28"/>
        </w:rPr>
        <w:t>上市后顺丰承担了更严格的合规成本和投资者关系维护成本，但通过设立专业IR部门、定期召开业绩说明会平衡了运营与合规的关系。员工持股计划在上市同年推出，稳定了核心团队，避免了因财富效应导致的人才流失。战略延续性方面，顺丰继续坚持重资产、高品质路径，投资飞机、中转场，并于2017年收购DHL在华供应链业务，扩展边界。</w:t>
      </w:r>
    </w:p>
    <w:p>
      <w:pPr>
        <w:spacing w:line="240" w:lineRule="auto"/>
        <w:ind w:firstLine="560"/>
        <w:jc w:val="both"/>
      </w:pPr>
      <w:r>
        <w:rPr>
          <w:rFonts w:ascii="Times New Roman" w:hAnsi="Times New Roman" w:eastAsia="仿宋" w:cs="Times New Roman"/>
          <w:b w:val="0"/>
          <w:sz w:val="28"/>
        </w:rPr>
        <w:t>本案例对企业家的重要启示：借壳只是资本运作第一步，真正的价值创造来自上市后围绕主业的持续投入和精细化运营。投后整合方案需在交易协议中提前规划，包括资产剥离、管理层接替、IT与财务系统融合等；交割后应成立整合办公室，明确时间表和责任人，确保项目快速落地。</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